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99" w:rsidRDefault="008A3C99" w:rsidP="008A3C99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3C99" w:rsidRDefault="008A3C99" w:rsidP="008A3C99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3C99" w:rsidRPr="008A3C99" w:rsidRDefault="008A3C99" w:rsidP="008A3C99">
      <w:pPr>
        <w:keepNext/>
        <w:widowControl w:val="0"/>
        <w:suppressAutoHyphens/>
        <w:spacing w:after="0" w:line="240" w:lineRule="auto"/>
        <w:outlineLvl w:val="1"/>
        <w:rPr>
          <w:rFonts w:ascii="ExcelciorCyr" w:eastAsia="Times New Roman" w:hAnsi="ExcelciorCyr" w:cs="Times New Roman"/>
          <w:b/>
          <w:sz w:val="18"/>
          <w:szCs w:val="18"/>
        </w:rPr>
      </w:pPr>
      <w:r w:rsidRPr="008A3C9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ПРИЛОЖЕНИЕ № </w:t>
      </w:r>
      <w:r w:rsidRPr="008A3C99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8A3C9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  <w:r w:rsidRPr="008A3C99">
        <w:rPr>
          <w:rFonts w:ascii="Times New Roman" w:eastAsia="Times New Roman" w:hAnsi="Times New Roman" w:cs="Times New Roman"/>
          <w:b/>
          <w:sz w:val="18"/>
          <w:szCs w:val="18"/>
        </w:rPr>
        <w:t xml:space="preserve">КЪМ РЕШЕНИЕ № </w:t>
      </w:r>
      <w:r w:rsidRPr="008A3C99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8A3C99">
        <w:rPr>
          <w:rFonts w:ascii="Times New Roman" w:eastAsia="Times New Roman" w:hAnsi="Times New Roman" w:cs="Times New Roman"/>
          <w:b/>
          <w:sz w:val="18"/>
          <w:szCs w:val="18"/>
        </w:rPr>
        <w:t>, ВЗЕТО НА ЗАСЕДАНИЕ НА ОБЩИНСКИ СЪВЕТ – ТРЯВНА НА 25.01.2015 Г.</w:t>
      </w:r>
      <w:proofErr w:type="gramStart"/>
      <w:r w:rsidRPr="008A3C99">
        <w:rPr>
          <w:rFonts w:ascii="Times New Roman" w:eastAsia="Times New Roman" w:hAnsi="Times New Roman" w:cs="Times New Roman"/>
          <w:b/>
          <w:sz w:val="18"/>
          <w:szCs w:val="18"/>
        </w:rPr>
        <w:t>,  ПРОТОКОЛ</w:t>
      </w:r>
      <w:proofErr w:type="gramEnd"/>
      <w:r w:rsidRPr="008A3C99">
        <w:rPr>
          <w:rFonts w:ascii="Times New Roman" w:eastAsia="Times New Roman" w:hAnsi="Times New Roman" w:cs="Times New Roman"/>
          <w:b/>
          <w:sz w:val="18"/>
          <w:szCs w:val="18"/>
        </w:rPr>
        <w:t xml:space="preserve"> № 1</w:t>
      </w:r>
    </w:p>
    <w:p w:rsidR="0013320C" w:rsidRPr="008A3C99" w:rsidRDefault="0013320C" w:rsidP="0013320C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eastAsia="bg-BG"/>
        </w:rPr>
      </w:pPr>
    </w:p>
    <w:p w:rsidR="0034594F" w:rsidRPr="00592C63" w:rsidRDefault="0034594F" w:rsidP="004A097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bg-BG"/>
        </w:rPr>
        <w:t>ОБЩИНСКИ ГОДИШЕН ПЛАН ЗА МЛАДЕЖТА</w:t>
      </w:r>
    </w:p>
    <w:p w:rsidR="0034594F" w:rsidRPr="00592C63" w:rsidRDefault="0034594F" w:rsidP="004A097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bg-BG"/>
        </w:rPr>
        <w:t>ОБЩИНА ТРЯВНА</w:t>
      </w:r>
    </w:p>
    <w:p w:rsidR="0034594F" w:rsidRPr="00592C63" w:rsidRDefault="0034594F" w:rsidP="004A097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bg-BG"/>
        </w:rPr>
        <w:t>( 2017 год. )</w:t>
      </w:r>
    </w:p>
    <w:p w:rsidR="0034594F" w:rsidRPr="00592C63" w:rsidRDefault="0034594F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94F" w:rsidRPr="00592C63" w:rsidRDefault="0034594F" w:rsidP="0034594F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>ОБЩИ ПОЛОЖЕНИЯ</w:t>
      </w:r>
    </w:p>
    <w:p w:rsidR="0034594F" w:rsidRPr="00592C63" w:rsidRDefault="0034594F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програма за изпълнение на националната политика за младите хора чрез включване на целенасочени дейности в подкрепа на развитието им в секторните политики и осигуряване на възможности за конструктивен диалог с тях при формулирането, изпълнението и оценката на младежката политика.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разработен в съответствие с чл.15, ал.3 от Закона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Националната стратегия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2012-2020, Общинския план за развитие, Общинската програма за закрила на детето и приоритетите за развитие на младите хора, заложени в управленската програма на кмета на Община Трявна</w:t>
      </w:r>
      <w:r w:rsidR="00AE491D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съвместно с представители на младежки организации, регистрирани на територията на община Трявна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Трявна за 201</w:t>
      </w:r>
      <w:r w:rsidR="00A42490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съобразен с приоритетите в следните ключови документи: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2"/>
        </w:numPr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ЕВРОПА 2020 за интелигентен, устойчив и приобщаващ растеж, която с инициативата „Младеж в движение“ задава актуалната европейска доктрина, насочена към подобряване на образователните системи и улеснява навлизането на младите хора на пазара на труда;</w:t>
      </w:r>
    </w:p>
    <w:p w:rsidR="0034594F" w:rsidRPr="00592C63" w:rsidRDefault="0034594F" w:rsidP="0034594F">
      <w:pPr>
        <w:numPr>
          <w:ilvl w:val="0"/>
          <w:numId w:val="2"/>
        </w:numPr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Европейска харта за участието на младите хора в живота на общините и регионите, приета от Съвета на Европа;</w:t>
      </w:r>
    </w:p>
    <w:p w:rsidR="0034594F" w:rsidRPr="00592C63" w:rsidRDefault="0034594F" w:rsidP="0034594F">
      <w:pPr>
        <w:numPr>
          <w:ilvl w:val="0"/>
          <w:numId w:val="2"/>
        </w:numPr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Бялата книга на Европейската комисия “Нов тласък за европейската младеж”;</w:t>
      </w:r>
    </w:p>
    <w:p w:rsidR="0034594F" w:rsidRPr="00592C63" w:rsidRDefault="0034594F" w:rsidP="0034594F">
      <w:pPr>
        <w:numPr>
          <w:ilvl w:val="0"/>
          <w:numId w:val="2"/>
        </w:numPr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Световна програма за действие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приета с резолюция на Общото събрание на ООН; </w:t>
      </w:r>
    </w:p>
    <w:p w:rsidR="0034594F" w:rsidRPr="00592C63" w:rsidRDefault="0034594F" w:rsidP="0034594F">
      <w:pPr>
        <w:numPr>
          <w:ilvl w:val="0"/>
          <w:numId w:val="2"/>
        </w:numPr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 младежки пакт;</w:t>
      </w:r>
    </w:p>
    <w:p w:rsidR="0034594F" w:rsidRPr="00592C63" w:rsidRDefault="0034594F" w:rsidP="0034594F">
      <w:pPr>
        <w:numPr>
          <w:ilvl w:val="0"/>
          <w:numId w:val="2"/>
        </w:numPr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Стратегия на ЕС за инвестиране в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мобилизиране на нейния потенциал; </w:t>
      </w:r>
    </w:p>
    <w:p w:rsidR="0034594F" w:rsidRPr="0013320C" w:rsidRDefault="0034594F" w:rsidP="0034594F">
      <w:pPr>
        <w:numPr>
          <w:ilvl w:val="0"/>
          <w:numId w:val="2"/>
        </w:numPr>
        <w:spacing w:after="0" w:line="240" w:lineRule="auto"/>
        <w:ind w:left="68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Обновената рамка за европейско сътрудничество в областта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(2010-2018).</w:t>
      </w:r>
    </w:p>
    <w:p w:rsidR="0034594F" w:rsidRPr="00592C63" w:rsidRDefault="0034594F" w:rsidP="0034594F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СИТУАЦИОНЕН АНАЛИЗ И ПРЕДИЗВИКАТЕЛСТВА ПРЕД МЛАДИТЕ ХОРА В ОБЩИНА ТРЯВНА</w:t>
      </w:r>
    </w:p>
    <w:p w:rsidR="0034594F" w:rsidRPr="00592C63" w:rsidRDefault="0034594F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Водеща характеристика на съвременните младежи е стремежът към независимост,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самореализация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личностно развитие - не само в община Трявна, а и в страната като цяло -  обуславящ се от динамично променящата се среда в съвременния свят. Поставянето на високи цели, търсенето на възможности за професионален и личностен път, стремежът към успешна реализация и </w:t>
      </w:r>
      <w:proofErr w:type="spellStart"/>
      <w:r w:rsidR="006C17D6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себеизява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това </w:t>
      </w:r>
      <w:r w:rsidR="006C17D6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характеристики на индивидуалността и стремежът на младите хора към вземане на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самостоятелни решения.</w:t>
      </w:r>
      <w:r w:rsidRPr="00592C63">
        <w:rPr>
          <w:rFonts w:ascii="Times New Roman" w:eastAsia="Times New Roman" w:hAnsi="Times New Roman" w:cs="Times New Roman"/>
          <w:color w:val="3366FF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bg-BG"/>
        </w:rPr>
      </w:pPr>
    </w:p>
    <w:p w:rsidR="0034594F" w:rsidRPr="00592C63" w:rsidRDefault="006C17D6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постигнат самостоятелност и независимост, младите хора имат нужда на първо място от финансова обезпеченост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Липсата на достатъчно професионален опит, разминаването в очакванията за заплащане на положения труд и реалните нива на трудово възнаграждение, избирането на професия, която не се търси на пазара на труда са част от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предпоставки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често се налага родителите да поемат финансовата издръжка на своите деца дълго след навършване на пълнолетието им и завършване на академични степени с висок образователен ценз.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налага необходимостта от разработване и изпълнение на специални програми и мерки, които биха допринесли за професионалната реализация на младите хора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bg-BG"/>
        </w:rPr>
      </w:pPr>
    </w:p>
    <w:p w:rsidR="0034594F" w:rsidRPr="00592C63" w:rsidRDefault="00011923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Въпреки че през последните години броят на обществено ангажираните млади хора намалява, те успяват чрез различни форми и средства да изразят своята позиция към обществено значими каузи, към вземането на управленски и политически решения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показва, че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младите хора реагират бързо, остро и адекватно на всяко политическо говорене и действие, което не се вписва в техния светоглед и разбиране за европейски стандарти на поведение в политиката и обществото. Така през последните години младите хора показаха, че са взискателни към всички нива на управлението и подчертаха своята загриженост за европейското бъдеще на България.</w:t>
      </w:r>
    </w:p>
    <w:p w:rsidR="00011923" w:rsidRPr="00592C63" w:rsidRDefault="00011923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923" w:rsidRPr="00592C63" w:rsidRDefault="00011923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Възможностите за професионално развитие, достъп до качествено образование и участие в местното самоуправление са само част от приоритети, които си поставят държавата и общините, за да подкрепят личностното развитие и успешната реализация на младежите.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Трявна няма добре </w:t>
      </w:r>
      <w:r w:rsidRPr="00D86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развито представителство на различни структури и форми на младежки дейности и организации. Регистрирани са 14 сдружения с нестопанска цел, десет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– спортни клубове, от останалите четири - само две реално извършват дейности на територията на общината и само едно от тях е с предимно младежки състав.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Трявна разполага с добре разгъната образователна мрежа, която гарантира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равнопоставен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достъп до образование, в т.ч. извънкласни дейности. На територията на общината функционират 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детски градини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ДГ „Светлина“ и ДГ „Калина“ в гр.Трявна</w:t>
      </w:r>
      <w:r w:rsidR="00690802">
        <w:rPr>
          <w:rFonts w:ascii="Times New Roman" w:eastAsia="Times New Roman" w:hAnsi="Times New Roman" w:cs="Times New Roman"/>
          <w:sz w:val="24"/>
          <w:szCs w:val="24"/>
          <w:lang w:eastAsia="bg-BG"/>
        </w:rPr>
        <w:t>, ДГ „</w:t>
      </w:r>
      <w:proofErr w:type="spellStart"/>
      <w:r w:rsidR="0069080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Осмимарт</w:t>
      </w:r>
      <w:proofErr w:type="spellEnd"/>
      <w:r w:rsidR="00690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гр. Плачковци и следните училища: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Средно училище „Петко 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Р.</w:t>
      </w:r>
      <w:r w:rsidR="00A77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Славейков“ в гр. Трявна;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ационална гимназия по приложни изкуства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„Тревненска школа“</w:t>
      </w:r>
      <w:r w:rsidR="00A77118">
        <w:rPr>
          <w:rFonts w:ascii="Times New Roman" w:eastAsia="Times New Roman" w:hAnsi="Times New Roman" w:cs="Times New Roman"/>
          <w:sz w:val="24"/>
          <w:szCs w:val="24"/>
          <w:lang w:eastAsia="bg-BG"/>
        </w:rPr>
        <w:t>; СУ „Ангел Кънчев“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основни училища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ОУ „Проф.П.</w:t>
      </w:r>
      <w:r w:rsidR="00A77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Н.</w:t>
      </w:r>
      <w:r w:rsidR="00A77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1DF9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Райков“ в гр. Трявна и ОУ „Васил Левски“  в гр. Плачковци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F7757C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реализиране на инвестиции в учебните и спортни материално-технически бази Община Трявна се старае да допринесе за достъп на всеки младеж до качествено образование и възможности за извънкласни дейности.</w:t>
      </w:r>
    </w:p>
    <w:p w:rsidR="00F7757C" w:rsidRPr="00592C63" w:rsidRDefault="00F7757C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F7757C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финансовия ресурс, с който разполага общината се старае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стимулира развитието на общинските младежки структури и работещите на територията на общината младежки организации.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силни страни и слабости, които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индикира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са база за формулиране на ясни цели и конкретни действия, които Община Трявна ще изпълнява през 201</w:t>
      </w:r>
      <w:r w:rsidR="00F7757C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следвайки местни правила и национални норми, предвидени в стратегическите документи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релевантните закони на Република България.</w:t>
      </w:r>
    </w:p>
    <w:p w:rsidR="008352F0" w:rsidRPr="00592C63" w:rsidRDefault="008352F0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ПРИОРИТЕТИ И СПЕЦИФИЧНИ ЦЕЛИ НА ОБЩИНСКАТА ПОЛИТИКА ЗА МЛАДЕЖТА</w:t>
      </w:r>
    </w:p>
    <w:p w:rsidR="0034594F" w:rsidRPr="00592C63" w:rsidRDefault="0034594F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4594F" w:rsidRPr="00592C63" w:rsidRDefault="00F7757C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Проблемите на младите хора обхващат 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сфери като образование, трудова заетост, социално включване, здравеопазване, етническа толерантност, младежко </w:t>
      </w:r>
      <w:proofErr w:type="spellStart"/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</w:t>
      </w:r>
      <w:proofErr w:type="spellEnd"/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равнопоставеност</w:t>
      </w:r>
      <w:proofErr w:type="spellEnd"/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половете, конкурентоспособност.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 налага необходимостта от използването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многосекторен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подход при реализация на дейностите, заложени в Общинския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Доктрината на ЕС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изведе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основни приоритета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са базови и за настоящия Общински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4594F" w:rsidRPr="00592C63" w:rsidRDefault="0034594F" w:rsidP="0034594F">
      <w:p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3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Участие;</w:t>
      </w:r>
    </w:p>
    <w:p w:rsidR="0034594F" w:rsidRPr="00592C63" w:rsidRDefault="0034594F" w:rsidP="0034594F">
      <w:pPr>
        <w:numPr>
          <w:ilvl w:val="0"/>
          <w:numId w:val="3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Информация;</w:t>
      </w:r>
    </w:p>
    <w:p w:rsidR="0034594F" w:rsidRPr="00592C63" w:rsidRDefault="0034594F" w:rsidP="0034594F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Неформално образование;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Доброволчески дейности;</w:t>
      </w:r>
    </w:p>
    <w:p w:rsidR="0034594F" w:rsidRPr="00592C63" w:rsidRDefault="0034594F" w:rsidP="0034594F">
      <w:pPr>
        <w:numPr>
          <w:ilvl w:val="0"/>
          <w:numId w:val="3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По-добро разбиране и познаване на проблемите на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198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tabs>
          <w:tab w:val="left" w:pos="100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тази връзка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Общинският годишен план за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предвижда дейности за:</w:t>
      </w:r>
    </w:p>
    <w:p w:rsidR="0034594F" w:rsidRPr="00592C63" w:rsidRDefault="0034594F" w:rsidP="0034594F">
      <w:pPr>
        <w:tabs>
          <w:tab w:val="left" w:pos="100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4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повече възможности за участие на младите хора в обществения живот, във вземането на решения за развитието на региона, общината и общността;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4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Пълноценно участие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формиране на дългосрочни общински стратегии, разработване и изпълнение на ключови за Община Трявна проекти;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4"/>
        </w:numPr>
        <w:spacing w:after="0" w:line="240" w:lineRule="auto"/>
        <w:ind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информираност във всички сфери и аспекти на обществено-икономическия живот на младежите в общността;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5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По-добри условия и повече възможности за достъп на младежите до неформално образование и форми за учене през целия живот;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6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равни възможности за интелигентен растеж, устойчиво развитие и социално приобщаване на младите хора;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6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Подкрепа на младежки инициативи и кампании, посветени на значими за общността каузи, насърчаване на доброволческите дейности;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6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предприемачеството сред младите хора, по-лесен път за иновациите и високотехнологичните решения във всички сфери на техния професионален и личен живот;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6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Инвестиране в младите хора и мобилизиране на техния потенциал, което рефлектира в ръст на обществено-икономическото развитие;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numPr>
          <w:ilvl w:val="0"/>
          <w:numId w:val="6"/>
        </w:numPr>
        <w:spacing w:after="0" w:line="240" w:lineRule="auto"/>
        <w:ind w:right="20" w:firstLine="3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Създаване на младежки съвети за изпълнение на националните приоритети и регионалните политики за развитие на младите хора, насърчаване на тяхната активна гражданска позиция;</w:t>
      </w:r>
    </w:p>
    <w:p w:rsidR="0034594F" w:rsidRPr="00592C63" w:rsidRDefault="0034594F" w:rsidP="00427F44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ОСНОВНИ ПРИНЦИПИ ЗА РЕАЛИЗИРАНЕ НА ГОДИШНИЯ ОБЩИНСКИ ПЛАН ЗА МЛАДЕЖТА</w:t>
      </w:r>
    </w:p>
    <w:p w:rsidR="0034594F" w:rsidRPr="00592C63" w:rsidRDefault="0034594F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Съответствие</w:t>
      </w:r>
    </w:p>
    <w:p w:rsidR="0034594F" w:rsidRPr="00592C63" w:rsidRDefault="0034594F" w:rsidP="0034594F">
      <w:pPr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27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Принципът на съответствие предполага логическа свързаност на общинския план с националните програмите и услугите за младежи, както и с европейските и международни стратегически документи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5FCF" w:rsidRPr="00592C63" w:rsidRDefault="00275FCF" w:rsidP="0027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 стратегия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(2010-2020);</w:t>
      </w:r>
    </w:p>
    <w:p w:rsidR="0034594F" w:rsidRPr="00592C63" w:rsidRDefault="0034594F" w:rsidP="003459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ЕВРОПА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2020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интелигентен,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устойчив и приобщаващ растеж;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Резолюция (2009/С311/01) относно обновена рамка за европейско сътрудничество по въпросите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(2010-2018);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Ревизирана Европейска харта за участието на младите хора в живота на общините и регионите, приета от Съвета на Европа;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Хартата за правата на човека;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Конвенцията за правата на детето на ООН;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Европейски пакт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Европейска конвенция за правата на човека и основните свободи;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 книга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 тласък за европейската младеж”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ЕК;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Препоръка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1437(2000)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Парламентарната асамблея за неформалното образование;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Препоръка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1585(2002)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Парламентарната асамблея за младежки политики и ролята на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регионалните младежки съвети;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Препоръка 1844(2008) на Парламентарната асамблея за новия дневен ред на Съвета на Европа за младежките политики;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Препоръка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Rec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(2006) 1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Комитета на Министрите на Съвета на Европа към държавите членки за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ролята на националните младежки съвети в развитието на младежката политика и стандартите, установени в Европейската харта за участието на младите хора в живота на общините и регионите;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Стратегията за образователна интеграция на деца и ученици от етническите малцинства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(2004-2015);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план за интегриране на деца със специални образователни потребности и/или хронични заболявания в системата на народната просвета;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за развитие на образованието,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науката и младежките политики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(2009-2013);</w:t>
      </w:r>
    </w:p>
    <w:p w:rsidR="0034594F" w:rsidRPr="00592C63" w:rsidRDefault="0034594F" w:rsidP="0034594F">
      <w:pPr>
        <w:numPr>
          <w:ilvl w:val="0"/>
          <w:numId w:val="11"/>
        </w:numPr>
        <w:tabs>
          <w:tab w:val="left" w:pos="36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Актуализираната стратегия по заетостта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(2008-2015);</w:t>
      </w:r>
    </w:p>
    <w:p w:rsidR="0034594F" w:rsidRPr="00592C63" w:rsidRDefault="0034594F" w:rsidP="0034594F">
      <w:p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Законосъобразност</w:t>
      </w:r>
    </w:p>
    <w:p w:rsidR="0034594F" w:rsidRPr="00592C63" w:rsidRDefault="0034594F" w:rsidP="0034594F">
      <w:pPr>
        <w:spacing w:after="0" w:line="3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Принципът на законосъобразност дефинира съответствие и релативност на годишния общински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резололюции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рамкови програми и стратегически документи на ЕС, закони и подзаконови актове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РБългария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общинската нормативна уредба:</w:t>
      </w: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3000" w:hanging="403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3000" w:hanging="40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висшето образование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;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53" w:hanging="403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народната просвета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;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2620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Закон за закрила на детето;</w:t>
      </w:r>
    </w:p>
    <w:p w:rsidR="0034594F" w:rsidRPr="00592C63" w:rsidRDefault="0034594F" w:rsidP="0034594F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749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насърчаване на заетостта;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53" w:hanging="403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за образователна интеграция на деца и ученици от етническите малцинства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(2004-2015);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300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Националната стратегия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(2010-2020);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300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план за интегриране на деца със специални образователни потребности и/или хронични заболявания в системата на народната просвета;</w:t>
      </w:r>
    </w:p>
    <w:p w:rsidR="0034594F" w:rsidRPr="00592C63" w:rsidRDefault="0034594F" w:rsidP="0034594F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749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Актуализираната стратегия по заетостта (2008-2015);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53" w:hanging="403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Рамковата програма за интегриране на ромите в българското общество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(2010-2020);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numPr>
          <w:ilvl w:val="0"/>
          <w:numId w:val="13"/>
        </w:numPr>
        <w:spacing w:after="0" w:line="240" w:lineRule="auto"/>
        <w:ind w:left="749" w:right="1860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от Лисабон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( 1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Декември</w:t>
      </w:r>
      <w:r w:rsidRPr="00592C63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2009);</w:t>
      </w:r>
    </w:p>
    <w:p w:rsidR="0034594F" w:rsidRPr="00592C63" w:rsidRDefault="0034594F" w:rsidP="0034594F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749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ЕВРОПА 2020 за интелигентен, устойчив и приобщаващ растеж;</w:t>
      </w:r>
    </w:p>
    <w:p w:rsidR="0034594F" w:rsidRPr="00592C63" w:rsidRDefault="0034594F" w:rsidP="0034594F">
      <w:pPr>
        <w:numPr>
          <w:ilvl w:val="0"/>
          <w:numId w:val="13"/>
        </w:numPr>
        <w:tabs>
          <w:tab w:val="left" w:pos="285"/>
        </w:tabs>
        <w:spacing w:after="0" w:line="240" w:lineRule="auto"/>
        <w:ind w:left="749" w:right="20" w:hanging="403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Резолюция (2009/С311/01) относно обновена рамка за европейско сътрудничество по въпросите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(2010-2018);</w:t>
      </w:r>
    </w:p>
    <w:p w:rsidR="0034594F" w:rsidRPr="00592C63" w:rsidRDefault="0034594F" w:rsidP="0034594F">
      <w:pPr>
        <w:numPr>
          <w:ilvl w:val="0"/>
          <w:numId w:val="13"/>
        </w:numPr>
        <w:tabs>
          <w:tab w:val="left" w:pos="285"/>
        </w:tabs>
        <w:spacing w:after="0" w:line="240" w:lineRule="auto"/>
        <w:ind w:left="749" w:right="20" w:hanging="403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Ревизирана Европейска харта за участието на младите хора в живота на общините и регионите, приета от Съвета на Европа;</w:t>
      </w:r>
    </w:p>
    <w:p w:rsidR="0034594F" w:rsidRPr="00592C63" w:rsidRDefault="0034594F" w:rsidP="0034594F">
      <w:pPr>
        <w:numPr>
          <w:ilvl w:val="0"/>
          <w:numId w:val="13"/>
        </w:numPr>
        <w:tabs>
          <w:tab w:val="left" w:pos="285"/>
        </w:tabs>
        <w:spacing w:after="0" w:line="240" w:lineRule="auto"/>
        <w:ind w:left="749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Хартата за правата на човека;</w:t>
      </w:r>
    </w:p>
    <w:p w:rsidR="0034594F" w:rsidRPr="00592C63" w:rsidRDefault="0034594F" w:rsidP="0034594F">
      <w:pPr>
        <w:numPr>
          <w:ilvl w:val="0"/>
          <w:numId w:val="13"/>
        </w:numPr>
        <w:tabs>
          <w:tab w:val="left" w:pos="285"/>
        </w:tabs>
        <w:spacing w:after="0" w:line="240" w:lineRule="auto"/>
        <w:ind w:left="749" w:hanging="403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Конвенцията за правата на детето на ООН;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</w:p>
    <w:p w:rsidR="0034594F" w:rsidRPr="00592C63" w:rsidRDefault="00275FCF" w:rsidP="00275FCF">
      <w:pPr>
        <w:numPr>
          <w:ilvl w:val="1"/>
          <w:numId w:val="7"/>
        </w:numPr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Недискриминация, обществена солидарност и толерантност</w:t>
      </w:r>
    </w:p>
    <w:p w:rsidR="0034594F" w:rsidRPr="00592C63" w:rsidRDefault="0034594F" w:rsidP="0034594F">
      <w:pPr>
        <w:spacing w:after="0" w:line="5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tabs>
          <w:tab w:val="left" w:pos="51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принцип дефинира стил и мерки за насърчаване на равните възможности и приемането на различията между младите хора. Той концентрира специално внимание върху толерантността към всички социални и възрастови групи на обществото, равенство между половете, равен достъп до информация, образование, здравни грижи и работа за всички групи младежи.</w:t>
      </w: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1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Ефективност, прозрачност и икономичност</w:t>
      </w:r>
    </w:p>
    <w:p w:rsidR="0034594F" w:rsidRPr="00592C63" w:rsidRDefault="0034594F" w:rsidP="0034594F">
      <w:pPr>
        <w:spacing w:after="0" w:line="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Този принцип задава стандарти за очакваните резултати и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индикира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нивото на реализираните младежки проекти и инициативи в условията на финансова рамка с ограничен ресурс, при прозрачни процедури, открита администрация, отворен дискусионен процес в общността, зачитане на обществените обсъждания, приемане и прилагане </w:t>
      </w:r>
      <w:r w:rsidR="00341C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конструктивните предложения.</w:t>
      </w:r>
    </w:p>
    <w:p w:rsidR="00275FCF" w:rsidRPr="00592C63" w:rsidRDefault="00275FC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1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Децентрализация</w:t>
      </w:r>
    </w:p>
    <w:p w:rsidR="0034594F" w:rsidRPr="00592C63" w:rsidRDefault="0034594F" w:rsidP="0034594F">
      <w:pPr>
        <w:spacing w:after="0" w:line="3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Принципът на децентрализация предполага фокус върху регионалните политики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местните инициативи, провокирани и осъществени от спецификата и потребностите на младите хора в местната общност.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275FCF" w:rsidP="00275FCF">
      <w:pPr>
        <w:numPr>
          <w:ilvl w:val="0"/>
          <w:numId w:val="8"/>
        </w:numPr>
        <w:spacing w:after="0" w:line="18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Многосекторен</w:t>
      </w:r>
      <w:proofErr w:type="spellEnd"/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подход</w:t>
      </w:r>
    </w:p>
    <w:p w:rsidR="0034594F" w:rsidRPr="00592C63" w:rsidRDefault="0034594F" w:rsidP="0034594F">
      <w:pPr>
        <w:spacing w:after="0" w:line="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Принципът предполага свързващи и координиращи мерки и отношения, които обуславят успешно партньорство между всички сектори, свързани с живота на младите хора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18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Иновативност</w:t>
      </w:r>
    </w:p>
    <w:p w:rsidR="0034594F" w:rsidRPr="00592C63" w:rsidRDefault="0034594F" w:rsidP="0034594F">
      <w:pPr>
        <w:spacing w:after="0" w:line="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tabs>
          <w:tab w:val="left" w:pos="10773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Този принцип ориентира годишния общински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новаторство, модерни подходи, високи технологии, интерактивни техники в процеса на дефиниране на приоритетите, планиране и изпълнение на дейностите за подобряване на младежкото включване в живота на общността, повишаване на стандарта на живот на младите хора и насърчаване на активността им за младежки проекти и инициативи.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</w:pPr>
    </w:p>
    <w:p w:rsidR="0034594F" w:rsidRPr="00592C63" w:rsidRDefault="0034594F" w:rsidP="0034594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lastRenderedPageBreak/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Професионализъм</w:t>
      </w:r>
    </w:p>
    <w:p w:rsidR="0034594F" w:rsidRPr="00592C63" w:rsidRDefault="0034594F" w:rsidP="0034594F">
      <w:pPr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принцип залага отговорно, професионално отношение към разработването на стратегически документи, свързани с развитието на младежката общност, в които се определят потребностите на младите хора, дефинират се приоритети за тяхното бъдеще на територията на Община Трявна и въз основа на това се създават условия и нови възможности за учене, развитие, усъвършенстване и реализиране на пазара на труда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29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18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Надграждане</w:t>
      </w:r>
    </w:p>
    <w:p w:rsidR="0034594F" w:rsidRPr="00592C63" w:rsidRDefault="0034594F" w:rsidP="0034594F">
      <w:pPr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принцип предполага доразвиване, логическо продължение и усъвършенстване на съществуващи добри практики, опит, инициативи и услуги за младите хора в Община Трявна.</w:t>
      </w:r>
    </w:p>
    <w:p w:rsidR="0034594F" w:rsidRPr="00592C63" w:rsidRDefault="0034594F" w:rsidP="0034594F">
      <w:pPr>
        <w:spacing w:after="0" w:line="21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1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Wingdings" w:hAnsi="Times New Roman" w:cs="Times New Roman"/>
          <w:sz w:val="24"/>
          <w:szCs w:val="24"/>
          <w:vertAlign w:val="superscript"/>
          <w:lang w:eastAsia="bg-BG"/>
        </w:rPr>
        <w:t>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Формиране на мрежа от партньорства</w:t>
      </w:r>
    </w:p>
    <w:p w:rsidR="0034594F" w:rsidRPr="00592C63" w:rsidRDefault="0034594F" w:rsidP="0034594F">
      <w:pPr>
        <w:spacing w:after="0" w:line="3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Принципът на партньорските мрежи е ключов за успешното реализиране на заложените дейности в годишния общински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местно, регионално и национално ниво с участието на всички заинтересовани страни.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75FCF" w:rsidRPr="00341C0F" w:rsidRDefault="0034594F" w:rsidP="00341C0F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НАПРАВЛЕНИЯ И ДЕЙНОСТИ ЗА ИЗПЪЛНЕНИЕ НА ПОЛИТИКАТА ЗА МЛАДИТЕ ХОРА В ОБЩИНА ТРЯВНА</w:t>
      </w:r>
    </w:p>
    <w:p w:rsidR="00275FCF" w:rsidRPr="00592C63" w:rsidRDefault="0034594F" w:rsidP="00275FC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НАПРАВЛЕНИЕ 1. </w:t>
      </w:r>
      <w:r w:rsidR="004C250E"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ПОДОБРЯВАНЕ НА ДОСТЪПА ДО ИНФОРМАЦИЯ, КАЧЕСТВЕНИ УСЛУГИ И ВЪЗМОЖНОСТИ ЗА РАЗВИТИЕ</w:t>
      </w:r>
    </w:p>
    <w:p w:rsidR="00275FCF" w:rsidRPr="00592C63" w:rsidRDefault="00275FCF" w:rsidP="00275FCF">
      <w:pPr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5FCF" w:rsidRPr="00341C0F" w:rsidRDefault="00275FCF" w:rsidP="00341C0F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1. Формиране на общинска информационна политика за трайна интерактивна връзка и диалогичен информационен поток от</w:t>
      </w:r>
      <w:r w:rsidR="0034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към младите хора в общината.</w:t>
      </w:r>
    </w:p>
    <w:p w:rsidR="00275FCF" w:rsidRPr="00592C63" w:rsidRDefault="00275FCF" w:rsidP="00275FCF">
      <w:pPr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Предлагане на качествени информационни услуги на младежите в Община Трявна с актуална,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систематизирана и достъпна информация, която в максимална степен удовлетворява техните потребности.</w:t>
      </w:r>
    </w:p>
    <w:p w:rsidR="00275FCF" w:rsidRPr="00592C63" w:rsidRDefault="00275FCF" w:rsidP="00275FC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Организиране на информационни дни за младежи и младежки организации в Община Трявна </w:t>
      </w:r>
    </w:p>
    <w:p w:rsidR="00275FCF" w:rsidRPr="00592C63" w:rsidRDefault="00275FCF" w:rsidP="00275FCF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на младите хора с публичните институции и с правата им като част от местната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общност, като граждани на Република България и на Европейския съюз.</w:t>
      </w:r>
    </w:p>
    <w:p w:rsidR="00275FCF" w:rsidRPr="00592C63" w:rsidRDefault="00275FCF" w:rsidP="00275FCF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и подкрепа за развитието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ЕВРОДЕСК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активна европейска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 мрежа, която съдейства за обмена и разпространението на безплатна информация и консултирането на широк кръг млади хора, младежки работници и младежки организации.</w:t>
      </w:r>
    </w:p>
    <w:p w:rsidR="00275FCF" w:rsidRPr="00592C63" w:rsidRDefault="00275FCF" w:rsidP="0027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5FCF" w:rsidRPr="00341C0F" w:rsidRDefault="00275FCF" w:rsidP="00275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2. Развитие на консултантските услуги в помощ н</w:t>
      </w:r>
      <w:r w:rsidR="0034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младите хора в Община Трявна.</w:t>
      </w:r>
    </w:p>
    <w:p w:rsidR="00275FCF" w:rsidRPr="00592C63" w:rsidRDefault="00275FCF" w:rsidP="00275FC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младежки центрове за интегрирани услуги чрез капацитета на Общински консултативен съвет по въпросите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ученически клубове и неправителствени организации, които развиват дейност в тази сфера.</w:t>
      </w:r>
    </w:p>
    <w:p w:rsidR="00275FCF" w:rsidRPr="00592C63" w:rsidRDefault="00275FCF" w:rsidP="00275FCF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подпомагане и предлагане на консултантски услуги в подкрепа на личностното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младите хора в общината, за развитие на жизнени умения, социално включване и обществена активност.</w:t>
      </w:r>
    </w:p>
    <w:p w:rsidR="00275FCF" w:rsidRPr="00592C63" w:rsidRDefault="00275FCF" w:rsidP="00275FC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подпомагане и предлагане на консултантска помощ за семейно планиране 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развитие на устойчиви семейни модели сред младите хора в Община Трявна, включително и за развитие на умения за добро и отговорно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родителство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5FCF" w:rsidRPr="00592C63" w:rsidRDefault="00275FCF" w:rsidP="00275FC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подпомагане и предлагане на услуги за организиране на свободното време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младите хора в Община Трявна чрез форми за култура, изкуство и неформално обучение.</w:t>
      </w:r>
    </w:p>
    <w:p w:rsidR="00275FCF" w:rsidRPr="00592C63" w:rsidRDefault="00275FCF" w:rsidP="00275FC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Задача 5.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и подпомагане на публично-частните партньорства и социално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предприемачество в Община Трявна за предоставяне на услуги за развитие на младите хора.</w:t>
      </w:r>
    </w:p>
    <w:p w:rsidR="00275FCF" w:rsidRPr="00592C63" w:rsidRDefault="00275FCF" w:rsidP="0027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5FCF" w:rsidRPr="00592C63" w:rsidRDefault="00275FCF" w:rsidP="0027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80" w:rightFromText="180" w:vertAnchor="text" w:tblpX="41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505"/>
        <w:gridCol w:w="2180"/>
        <w:gridCol w:w="1558"/>
        <w:gridCol w:w="1482"/>
        <w:gridCol w:w="1368"/>
      </w:tblGrid>
      <w:tr w:rsidR="00275FCF" w:rsidRPr="00592C63" w:rsidTr="004C250E">
        <w:trPr>
          <w:trHeight w:val="28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eastAsia="bg-BG"/>
              </w:rPr>
              <w:t>Индикативен  план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82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66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Организация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Ресурси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Контрол</w:t>
            </w:r>
          </w:p>
        </w:tc>
      </w:tr>
      <w:tr w:rsidR="00275FCF" w:rsidRPr="00592C63" w:rsidTr="004C250E">
        <w:trPr>
          <w:trHeight w:val="28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1.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4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4C250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275FCF" w:rsidRPr="00592C63" w:rsidTr="004C250E">
        <w:trPr>
          <w:trHeight w:val="276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разпространение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материали, свързани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интересите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потребностите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младежите в Община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1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Трявна 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2.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4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4C250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275FCF" w:rsidRPr="00592C63" w:rsidTr="004C250E">
        <w:trPr>
          <w:trHeight w:val="372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дискусионни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  <w:p w:rsidR="004C250E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форуми, свързани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Областен информационен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актуални въпроси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център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развитието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младите хора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общината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3.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Обучения, семинари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4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4C250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 информационни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4C250E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4C250E" w:rsidRPr="00592C63" w:rsidRDefault="004C250E" w:rsidP="004C2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кампании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Областен информационен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C250E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4C250E" w:rsidRPr="00592C63" w:rsidRDefault="004C250E" w:rsidP="004C2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център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50E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публичните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институции и правата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младите хора 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8B4122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4.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Популяризиране 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4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ЕВРОДЕСК 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интерактивни форми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информационен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Европейски 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обмен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информационен  център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4C250E" w:rsidP="004C2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„Европа директно“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FCF" w:rsidRPr="00592C63" w:rsidTr="004C250E">
        <w:trPr>
          <w:trHeight w:val="28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75FCF" w:rsidRPr="00592C63" w:rsidRDefault="00275FCF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5.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4C250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8B41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8B4122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FCF" w:rsidRPr="00592C63" w:rsidRDefault="00275FCF" w:rsidP="00E0062E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семейни или групови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консултации 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превенция на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4C250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рисково и девиантно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8B4122">
        <w:trPr>
          <w:trHeight w:val="284"/>
        </w:trPr>
        <w:tc>
          <w:tcPr>
            <w:tcW w:w="4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поведение</w:t>
            </w:r>
          </w:p>
        </w:tc>
        <w:tc>
          <w:tcPr>
            <w:tcW w:w="2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8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6.</w:t>
            </w:r>
          </w:p>
        </w:tc>
        <w:tc>
          <w:tcPr>
            <w:tcW w:w="25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D863EC" w:rsidRDefault="008B4122" w:rsidP="008B41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</w:p>
        </w:tc>
        <w:tc>
          <w:tcPr>
            <w:tcW w:w="14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8B4122" w:rsidRPr="00592C63" w:rsidTr="00E0062E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D863EC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интернет портал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8B4122" w:rsidRPr="00592C63" w:rsidTr="008B4122">
        <w:trPr>
          <w:trHeight w:val="284"/>
        </w:trPr>
        <w:tc>
          <w:tcPr>
            <w:tcW w:w="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D863EC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Община Трявна, чрез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8B4122">
        <w:trPr>
          <w:trHeight w:val="284"/>
        </w:trPr>
        <w:tc>
          <w:tcPr>
            <w:tcW w:w="4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D863EC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който да се подобри достъпа до информация на младите хора </w:t>
            </w:r>
          </w:p>
        </w:tc>
        <w:tc>
          <w:tcPr>
            <w:tcW w:w="2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8B41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592C63" w:rsidRDefault="008B4122" w:rsidP="008B412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НАПРАВ</w:t>
      </w:r>
      <w:r w:rsidR="0079396D"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ЛЕНИЕ 2</w:t>
      </w:r>
      <w:r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СТИМУЛИРАНЕ И ПОПУЛЯРИЗИРАНЕ НА НЕФОРМАЛНОТО ОБРАЗОВНАИЕ СРЕД МЛАДИТЕ ХОРА В ОБЩИНА ТРЯВНА</w:t>
      </w:r>
    </w:p>
    <w:p w:rsidR="008B4122" w:rsidRPr="00592C63" w:rsidRDefault="008B4122" w:rsidP="008B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341C0F" w:rsidRDefault="008B4122" w:rsidP="008B4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1. Развитие на клу</w:t>
      </w:r>
      <w:r w:rsidR="0034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бове по неформално образование:</w:t>
      </w:r>
    </w:p>
    <w:p w:rsidR="008B4122" w:rsidRPr="00592C63" w:rsidRDefault="008B4122" w:rsidP="008B4122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Клуб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„Младежки парламент”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представители на средните училища в общината,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имат за цел тази структура да бъде представителен</w:t>
      </w:r>
      <w:r w:rsidR="0079396D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 на младите хора, да работи съгласно Ревизираната европейска харта за участието на младите хора в живота на общините и регионите, и Бялата книга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 Младежите осъществяват проучвания и анкети, реализират кампании, инициират кръгли маси и дискусии, и провеждат срещи с представители на властта. Членовете на младежкия парламент участват в национални срещи на младежките парламенти.</w:t>
      </w:r>
    </w:p>
    <w:p w:rsidR="008B4122" w:rsidRPr="00592C63" w:rsidRDefault="008B4122" w:rsidP="008B412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 дейността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„Доброволец”,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сформиран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неформална група младежи, с интереси в различните сфери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доброволчеството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Те участват и организират различни доброволчески акции, разучават и запознават други младежи с възможностите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доброволчеството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страната и чужбина.</w:t>
      </w:r>
    </w:p>
    <w:p w:rsidR="008B4122" w:rsidRPr="00592C63" w:rsidRDefault="008B4122" w:rsidP="008B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Клуб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„Екология и спорт”,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да организира акции свързани с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почистване, боядисване, облагородяване, здравословно хранене и спорт. Организира дискусии и обучения на тема „Здравословно хранене”. Организира спортни събития,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флашмоб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събития,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team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building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др. Обученията и дискусиите се провеждат главно по метода „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връстници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обучават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връстници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8B4122" w:rsidRPr="00592C63" w:rsidRDefault="008B4122" w:rsidP="008B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4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Клуб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„Здравеопазване”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организиране на обучения,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дискусии и акции, в които се разглеждат проблеми на здравето. </w:t>
      </w:r>
    </w:p>
    <w:p w:rsidR="008B4122" w:rsidRPr="00592C63" w:rsidRDefault="008B4122" w:rsidP="008B412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5.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Клуб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„Европейско развитие и младежка мобилност”,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 и реализира европейски младежки програми и инициативи. Организира и провежда дискусии и семинари на теми като: „Обучение в чужбина”, „Младежка мобилност”, „Европейски програми” и др., организира срещи с младежи от страната и чужбина.</w:t>
      </w:r>
    </w:p>
    <w:p w:rsidR="008B4122" w:rsidRPr="00592C63" w:rsidRDefault="008B4122" w:rsidP="008B412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6.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Клуб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„Образование,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култура и изкуство”,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кампании, акции, събития в областта на образованието, културата и изкуството.</w:t>
      </w:r>
    </w:p>
    <w:p w:rsidR="008B4122" w:rsidRPr="00592C63" w:rsidRDefault="008B4122" w:rsidP="008B412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7.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Клуб„Противообществени прояви и закрила на детето”, който да организира обучения, дебати, дискусии, свързани с превенцията на рисковото поведение сред младите хора. Предвиждат се обучения на теми „Трафик на хора”, „Насилието срещу жени”, „Наркотици и зависимости” и други, засягащи младите хора, с участието на инспектори и специалисти от МВР Трявна и други институции.</w:t>
      </w:r>
    </w:p>
    <w:p w:rsidR="008B4122" w:rsidRPr="00592C63" w:rsidRDefault="008B4122" w:rsidP="008B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122" w:rsidRPr="00341C0F" w:rsidRDefault="008B4122" w:rsidP="00341C0F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2. Реализиране на обучения, кампании и дискусионни форуми за реализиране на интелигентен растеж и социално приобщаване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B4122" w:rsidRPr="00592C63" w:rsidRDefault="008B4122" w:rsidP="008B4122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Задача 1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срещи с младежи от средните училища на теми като: правата на детето, държавна власт и държавна политика, местна власт и местно самоуправление за запознаване на младите хора с публичните институции и с правата им като част от местната общност, като граждани на Република България и на Европейския съюз.</w:t>
      </w:r>
    </w:p>
    <w:p w:rsidR="008B4122" w:rsidRPr="00592C63" w:rsidRDefault="008B4122" w:rsidP="008B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Организиране на кръгли маси и младежки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брейн-сторм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кампании за ключови въпроси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младежкото развитие и глобалните проблеми на местната общност и човечеството. </w:t>
      </w:r>
    </w:p>
    <w:p w:rsidR="008B4122" w:rsidRPr="00592C63" w:rsidRDefault="008B4122" w:rsidP="008B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актуална и систематизирана информация за възможности за финансиране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младежки идеи и инициативи.</w:t>
      </w:r>
    </w:p>
    <w:p w:rsidR="008B4122" w:rsidRPr="00592C63" w:rsidRDefault="008B4122" w:rsidP="008B4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активност,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взаимодействие и двустранни инициативи между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младежките организации и културните институти на територията на Община Трявна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A3232" w:rsidRPr="00592C63" w:rsidRDefault="004A3232" w:rsidP="008B4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4122" w:rsidRPr="00592C63" w:rsidRDefault="008B4122" w:rsidP="008B4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33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508"/>
        <w:gridCol w:w="2166"/>
        <w:gridCol w:w="1539"/>
        <w:gridCol w:w="1539"/>
        <w:gridCol w:w="1368"/>
      </w:tblGrid>
      <w:tr w:rsidR="008B4122" w:rsidRPr="00592C63" w:rsidTr="00E0062E">
        <w:trPr>
          <w:trHeight w:val="28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Индикативен  план  на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Направление   3 и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66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Организация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Ресурси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</w:t>
            </w:r>
          </w:p>
        </w:tc>
      </w:tr>
      <w:tr w:rsidR="008B4122" w:rsidRPr="00592C63" w:rsidTr="00E0062E">
        <w:trPr>
          <w:trHeight w:val="258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B605D4" w:rsidP="00E0062E">
            <w:pPr>
              <w:spacing w:after="0" w:line="258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1</w:t>
            </w:r>
            <w:r w:rsidR="008B4122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79396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79396D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МОН, ММС 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79396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79396D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8B4122" w:rsidRPr="00592C63" w:rsidTr="00E0062E">
        <w:trPr>
          <w:trHeight w:val="258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258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клубове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79396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фокус към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интересите на младите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хора в различни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области: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образование, култура,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спорт, екология,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здравеопазване,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неформално обучение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неговата роля за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формиране на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E0062E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креативност,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4A3232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комуникативност</w:t>
            </w:r>
            <w:proofErr w:type="spellEnd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4122" w:rsidRPr="00592C63" w:rsidTr="004A3232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лидерски умения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22" w:rsidRPr="00592C63" w:rsidRDefault="008B412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3043" w:rsidRPr="00592C63" w:rsidTr="004A3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83043" w:rsidRPr="00592C63" w:rsidRDefault="00B605D4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0D28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32" w:rsidRPr="00592C63" w:rsidRDefault="004A323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232" w:rsidRPr="00592C63" w:rsidRDefault="004A323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 2017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4A323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E83043" w:rsidRPr="00592C63" w:rsidTr="00E83043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4A323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 на летен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4A323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„Промяната е в Теб“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3043" w:rsidRPr="00592C63" w:rsidTr="000D2892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4A3232" w:rsidP="004A3232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лагер 2 за деца на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83043" w:rsidRPr="00592C63" w:rsidTr="000D2892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4A323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възраст 10-13 години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043" w:rsidRPr="00592C63" w:rsidRDefault="00E8304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1F2C" w:rsidRPr="00592C63" w:rsidTr="000D289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D1F2C" w:rsidRPr="00592C63" w:rsidRDefault="00B605D4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6D1F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0D2892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Организиране на 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6D1F2C" w:rsidRPr="00592C63" w:rsidTr="000D2892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срещи, в които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„Промяната е в Теб“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1F2C" w:rsidRPr="00592C63" w:rsidTr="000D2892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младежите общуват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1F2C" w:rsidRPr="00592C63" w:rsidTr="002A5741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помежду си, докато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1F2C" w:rsidRPr="00592C63" w:rsidTr="002A5741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играят настолни игри.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F2C" w:rsidRPr="00592C63" w:rsidRDefault="006D1F2C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5741" w:rsidRPr="00592C63" w:rsidTr="002A574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A5741" w:rsidRPr="00592C63" w:rsidRDefault="00B605D4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2A5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2A5741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Спортен празник за 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юни 2017г.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2A5741" w:rsidRPr="00592C63" w:rsidTr="002A5741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и родители.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„Промяната е в Теб“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A5741" w:rsidRPr="00592C63" w:rsidTr="002A5741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5741" w:rsidRPr="00592C63" w:rsidRDefault="002A574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5C01" w:rsidRPr="00592C63" w:rsidTr="002A574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915C01" w:rsidRPr="00592C63" w:rsidRDefault="00B605D4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15C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.4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915C01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Походи на деца и 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915C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юни/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915C01" w:rsidRPr="00592C63" w:rsidTr="002A5741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родители – запознаване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„Промяната е в Теб“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5C01" w:rsidRPr="00592C63" w:rsidTr="002A5741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опазване на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5C01" w:rsidRPr="00592C63" w:rsidTr="00387C93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C01" w:rsidRPr="00592C63" w:rsidRDefault="00915C01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87C93" w:rsidRPr="00592C63" w:rsidTr="00387C9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1.5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C93" w:rsidRPr="00592C63" w:rsidRDefault="00387C93" w:rsidP="00B605D4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Семеен пикник на 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C93" w:rsidRPr="00592C63" w:rsidRDefault="00387C93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Юли/август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87C93" w:rsidRPr="00592C63" w:rsidTr="003076C2">
        <w:trPr>
          <w:trHeight w:val="284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93" w:rsidRPr="00592C63" w:rsidRDefault="00387C93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Божковската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поляна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93" w:rsidRPr="00592C63" w:rsidRDefault="00387C93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„Промяната е в Теб“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93" w:rsidRPr="00592C63" w:rsidRDefault="00387C93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3076C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605ABD" w:rsidRPr="00592C63" w:rsidRDefault="00605ABD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Default="00605ABD" w:rsidP="003076C2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Провеждане на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Pr="00592C63" w:rsidRDefault="00605ABD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Default="00CC3840" w:rsidP="00CC38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 /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Pr="00592C63" w:rsidRDefault="00CC3840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605ABD" w:rsidRPr="00592C63" w:rsidTr="003076C2">
        <w:trPr>
          <w:trHeight w:val="284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605ABD" w:rsidRPr="00592C63" w:rsidRDefault="00605ABD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Default="003076C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инициатива „Прочети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„Промяната е в Теб“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Pr="00592C63" w:rsidRDefault="00605ABD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Default="00CC3840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ABD" w:rsidRPr="00592C63" w:rsidRDefault="00605ABD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76C2" w:rsidRPr="00592C63" w:rsidTr="003076C2">
        <w:trPr>
          <w:trHeight w:val="284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 приказка“ – младежи четат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CC3840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76C2" w:rsidRPr="00592C63" w:rsidTr="003076C2">
        <w:trPr>
          <w:trHeight w:val="284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любими приказки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076C2" w:rsidRPr="00592C63" w:rsidTr="003076C2">
        <w:trPr>
          <w:trHeight w:val="284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E0062E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деца в парка.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6C2" w:rsidRPr="00592C63" w:rsidRDefault="003076C2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3076C2">
        <w:trPr>
          <w:trHeight w:val="261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26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МОН, ММС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 год.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605ABD" w:rsidRPr="00592C63" w:rsidTr="00C22B20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дискусионни форуми,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605ABD" w:rsidRPr="00592C63" w:rsidTr="00C22B20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информационни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C22B20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клубове, свързани с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C22B20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възможностите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C22B20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неформално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C22B20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 на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C22B20">
        <w:trPr>
          <w:trHeight w:val="277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младите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5ABD" w:rsidRPr="00592C63" w:rsidTr="00C22B20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хора в общината</w:t>
            </w:r>
          </w:p>
        </w:tc>
        <w:tc>
          <w:tcPr>
            <w:tcW w:w="2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5ABD" w:rsidRPr="00592C63" w:rsidRDefault="00605ABD" w:rsidP="00C22B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4594F" w:rsidRPr="00592C63" w:rsidRDefault="0079396D" w:rsidP="0034594F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НАПРАВЛЕНИЕ 3. </w:t>
      </w:r>
      <w:r w:rsidR="0034594F"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ПОВИШАВАНЕ НА ГРАЖДАНСКАТА АКТИВНОСТ И ПЪЛНОЦЕННО УЧАСТИЕ НА МЛАДИТЕ ХОРА В ОБЩЕСТВЕНО-ИКОНОМИЧЕСКИЯ ЖИВОТ НА ОБЩИНА ТРЯВНА</w:t>
      </w:r>
    </w:p>
    <w:p w:rsidR="0034594F" w:rsidRPr="00592C63" w:rsidRDefault="0034594F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1. Насърчаване на самоорганизирането на младите хора</w:t>
      </w:r>
      <w:r w:rsidR="00341C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младите хора да създават и развиват младежки организации чрез публични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кампании за популяризиране на перспективите за обществено, професионално и личностно израстване на младежите, организирани в сдружения, клубове, асоциации и други неправителствени форми.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Усъвършенстване на общинската нормативната уредба,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свързана с дейността и развитието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младежките организации.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Инициативи за приобщаване към значими общински каузи на неорганизираните млади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хора.</w:t>
      </w:r>
    </w:p>
    <w:p w:rsidR="0034594F" w:rsidRPr="00592C63" w:rsidRDefault="0034594F" w:rsidP="0034594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Популяризиране и мултиплициране на добри практики на младежка гражданска активност.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 5.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Подкрепа за реализиране на младежки кампании и младежки инициативи.</w:t>
      </w:r>
    </w:p>
    <w:p w:rsidR="0034594F" w:rsidRPr="00592C63" w:rsidRDefault="0034594F" w:rsidP="0034594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2: Насърчаване на гражданското неформално образование и обучение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Популяризиране на гражданските права и обучение по защита на правата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човека с акцент върху правата на детето, толерантността,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равнопоставеността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половете и трудовите права на младите хора.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на младежки лидери.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3: Осигуряване на ефективно представителство на интересите на младите хора във формирането, изпълнението и оценката на секторните политики на общинско ниво</w:t>
      </w:r>
      <w:r w:rsidR="00341C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Окуражаване на младите хора да участват в управлението на местно ниво и в гражданския контрол върху дейността на местната администрация, включително и чрез кампании за връщане на доверието на младите хора в публичния сектор.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Насърчаване на създаването и развитието на </w:t>
      </w:r>
      <w:r w:rsidR="00D97437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младежко представителство чрез:</w:t>
      </w:r>
    </w:p>
    <w:p w:rsidR="0034594F" w:rsidRPr="00592C63" w:rsidRDefault="0034594F" w:rsidP="00D97437">
      <w:pPr>
        <w:numPr>
          <w:ilvl w:val="0"/>
          <w:numId w:val="14"/>
        </w:numPr>
        <w:tabs>
          <w:tab w:val="clear" w:pos="1360"/>
        </w:tabs>
        <w:spacing w:after="0" w:line="240" w:lineRule="auto"/>
        <w:ind w:hanging="5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гарантиране на демократично устройство, представителност и публичност; </w:t>
      </w:r>
    </w:p>
    <w:p w:rsidR="0034594F" w:rsidRPr="00427F44" w:rsidRDefault="0034594F" w:rsidP="0034594F">
      <w:pPr>
        <w:numPr>
          <w:ilvl w:val="0"/>
          <w:numId w:val="14"/>
        </w:numPr>
        <w:spacing w:after="0" w:line="240" w:lineRule="auto"/>
        <w:ind w:hanging="5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осигуряване на младежко представителство при вземане, изпълнение и оценка на решения, свързани с младите хора на територията на Община Трявна.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 на участието на младите хора и техните организации в опазването,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подобряването и управлението на природното богатство.</w:t>
      </w:r>
    </w:p>
    <w:p w:rsidR="00D863EC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кампании и инициативи по актуални теми и в изпълнение на политиките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Европейския съюз, Съвета на Европа и ОО</w:t>
      </w:r>
      <w:r w:rsidR="00427F44">
        <w:rPr>
          <w:rFonts w:ascii="Times New Roman" w:eastAsia="Times New Roman" w:hAnsi="Times New Roman" w:cs="Times New Roman"/>
          <w:sz w:val="24"/>
          <w:szCs w:val="24"/>
          <w:lang w:eastAsia="bg-BG"/>
        </w:rPr>
        <w:t>Н по отношение на младите хора.</w:t>
      </w:r>
    </w:p>
    <w:p w:rsidR="00341C0F" w:rsidRPr="00592C63" w:rsidRDefault="00341C0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80" w:rightFromText="180" w:vertAnchor="text" w:tblpX="466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80"/>
        <w:gridCol w:w="2181"/>
        <w:gridCol w:w="1580"/>
        <w:gridCol w:w="1500"/>
        <w:gridCol w:w="1320"/>
      </w:tblGrid>
      <w:tr w:rsidR="0034594F" w:rsidRPr="00592C63" w:rsidTr="0034594F">
        <w:trPr>
          <w:trHeight w:val="283"/>
        </w:trPr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eastAsia="bg-BG"/>
              </w:rPr>
              <w:t>Индикативен  план</w:t>
            </w:r>
          </w:p>
        </w:tc>
        <w:tc>
          <w:tcPr>
            <w:tcW w:w="2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66"/>
        </w:trPr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Организация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Ресурси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eastAsia="bg-BG"/>
              </w:rPr>
              <w:t>Контрол</w:t>
            </w:r>
          </w:p>
        </w:tc>
      </w:tr>
      <w:tr w:rsidR="0034594F" w:rsidRPr="00592C63" w:rsidTr="0079396D">
        <w:trPr>
          <w:trHeight w:val="258"/>
        </w:trPr>
        <w:tc>
          <w:tcPr>
            <w:tcW w:w="42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на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79396D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младите хора да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79396D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участват в местното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управлението чрез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консултативен съвет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82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въпросите на 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82"/>
        </w:trPr>
        <w:tc>
          <w:tcPr>
            <w:tcW w:w="42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младежта</w:t>
            </w:r>
            <w:proofErr w:type="spellEnd"/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63"/>
        </w:trPr>
        <w:tc>
          <w:tcPr>
            <w:tcW w:w="42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Осъществяване на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 Трявна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79396D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34594F">
        <w:trPr>
          <w:trHeight w:val="274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обучения, семинари и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76"/>
        </w:trPr>
        <w:tc>
          <w:tcPr>
            <w:tcW w:w="42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кампании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63"/>
        </w:trPr>
        <w:tc>
          <w:tcPr>
            <w:tcW w:w="42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3.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Консултантска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 Трявна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79396D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79396D">
        <w:trPr>
          <w:trHeight w:val="6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на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Общината в помощ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младите хора за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420" w:type="dxa"/>
            <w:tcBorders>
              <w:top w:val="nil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младежко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1"/>
        </w:trPr>
        <w:tc>
          <w:tcPr>
            <w:tcW w:w="42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представителство 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5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6.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 Трявна ,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ММС, ЕСФ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79396D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34594F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стажантски програми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Агенция по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придобиване на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заетостта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ключови умения и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управленски опит 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79396D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7939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5BC7" w:rsidRPr="00592C63" w:rsidTr="0079396D">
        <w:trPr>
          <w:trHeight w:val="25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D55BC7" w:rsidRPr="00592C63" w:rsidRDefault="00D55BC7" w:rsidP="00D55BC7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6.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D863EC" w:rsidRDefault="00D55BC7" w:rsidP="00D55BC7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 Трявна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 год.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D55BC7" w:rsidRPr="00592C63" w:rsidTr="00E0062E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D55BC7" w:rsidRPr="00592C63" w:rsidRDefault="00D55BC7" w:rsidP="00D55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D863EC" w:rsidRDefault="00D55BC7" w:rsidP="00D55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дни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5BC7" w:rsidRPr="00592C63" w:rsidRDefault="00D55BC7" w:rsidP="00D55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79396D" w:rsidRPr="00592C63" w:rsidTr="0079396D">
        <w:trPr>
          <w:trHeight w:val="24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D863EC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представяне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9396D" w:rsidRPr="00592C63" w:rsidTr="00E0062E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D863EC" w:rsidRDefault="0079396D" w:rsidP="0079396D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дейността на младежките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9396D" w:rsidRPr="00592C63" w:rsidTr="00E0062E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D863EC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организации, извършващи 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9396D" w:rsidRPr="00592C63" w:rsidTr="0079396D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6D" w:rsidRPr="00D863EC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 в община Трявна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6D" w:rsidRPr="00592C63" w:rsidRDefault="0079396D" w:rsidP="007939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FCF" w:rsidRPr="00592C63" w:rsidRDefault="00275FCF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0062E" w:rsidRDefault="00E0062E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66D6" w:rsidRDefault="006966D6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66D6" w:rsidRPr="00592C63" w:rsidRDefault="006966D6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1C0F" w:rsidRDefault="00341C0F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1C0F" w:rsidRDefault="00341C0F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594F" w:rsidRDefault="0034594F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1C0F" w:rsidRPr="00341C0F" w:rsidRDefault="00341C0F" w:rsidP="00341C0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042BC" w:rsidRDefault="00B042BC" w:rsidP="00341C0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42BC" w:rsidRDefault="00B042BC" w:rsidP="00341C0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42BC" w:rsidRDefault="00B042BC" w:rsidP="00341C0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42BC" w:rsidRDefault="00B042BC" w:rsidP="00341C0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НАПРАВЛЕНИЕ 4. НАСЪРЧАВАНЕ НА ИКОНОМИЧЕСКАТА АКТИВНОСТ И КАРИ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ЕРНОТО РАЗВИТИЕ НА МЛАДИТЕ ХОРА</w:t>
      </w:r>
    </w:p>
    <w:p w:rsidR="008E27DD" w:rsidRDefault="008E27DD" w:rsidP="00341C0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341C0F" w:rsidRDefault="0034594F" w:rsidP="00341C0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1. Подобряване на качеството на средното образование и навлизане на неформалното обучение като част от образователния процес. Насърчаване на ученето през целия живот, в съответствие с по</w:t>
      </w:r>
      <w:r w:rsidR="00341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требностите на пазара на труда.</w:t>
      </w:r>
    </w:p>
    <w:p w:rsidR="0034594F" w:rsidRPr="00592C63" w:rsidRDefault="0034594F" w:rsidP="0034594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Задача1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работодателите да осигуряват възможности за повишаване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квалификацията на млади работници и служители; </w:t>
      </w:r>
    </w:p>
    <w:p w:rsidR="0034594F" w:rsidRPr="00592C63" w:rsidRDefault="0034594F" w:rsidP="0034594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2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.Засилване на ефективността на връзките между образователните институции и бизнеса за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улесняване на прехода от образование към заетост;</w:t>
      </w:r>
    </w:p>
    <w:p w:rsidR="0034594F" w:rsidRPr="00592C63" w:rsidRDefault="0034594F" w:rsidP="0034594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3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изследователския интерес на учениците и студентите чрез участие в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 проекти;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1C0F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2. Осигуряване на достъп до професионално образование и обучение на младежи в неравностойно положение - младежи със специални образователни потребности, младежи в социален риск или отпаднали от образователната система</w:t>
      </w:r>
      <w:r w:rsidR="00341C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1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Стимулиране на работодателите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развиват дейности за приобщаване, личностно развитие и професионални перспективи за деца и младежи със специални образователни потребности, младежи в социален риск или отпаднали от образователната система; </w:t>
      </w:r>
    </w:p>
    <w:p w:rsidR="00E0062E" w:rsidRDefault="0034594F" w:rsidP="00E0062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2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сътрудничеството и възможностите за срещи между работодателите по въпроси за професионалната и житейска реализация на младежи в неравностойно положение или друг социален риск.</w:t>
      </w:r>
    </w:p>
    <w:p w:rsidR="00387C93" w:rsidRPr="00592C63" w:rsidRDefault="00387C93" w:rsidP="00E0062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E0062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НАПРАВЛЕНИЕ 5. НАСЪРЧАВАНЕ НА МЛАДЕЖКО ДОБРОВОЛЧЕСТВО</w:t>
      </w:r>
    </w:p>
    <w:p w:rsidR="00387C93" w:rsidRDefault="00387C93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1: Развитие на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доброволчеството</w:t>
      </w:r>
      <w:proofErr w:type="spellEnd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сред младите хора като движеща сила за личностно развитие, мобилност, учене, социално сближаване, солидарност между поколенията и формиране на гражданско самосъзнание.</w:t>
      </w:r>
    </w:p>
    <w:p w:rsidR="0034594F" w:rsidRPr="00592C63" w:rsidRDefault="0034594F" w:rsidP="0034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повече доброволчески възможности за младите хора,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особено за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трансгранична мобилност чрез по-пълно използване на средствата от новите програми и инициативи на ЕК „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движение”, „Гаранция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и „Възможности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E830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Присъединяване и осигуряване на прилагането на Европейската конвенция за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транснационална дългосрочна доброволческа служба за младежи на Съвета на Европа.</w:t>
      </w:r>
    </w:p>
    <w:p w:rsidR="0034594F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и подпомагане на участието на българските младежи в международното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младежко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97578" w:rsidRPr="00897578" w:rsidRDefault="00897578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Организиране на Национална младежка среща на тема „Активно гражданство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Община Трявна.</w:t>
      </w:r>
    </w:p>
    <w:p w:rsidR="0034594F" w:rsidRPr="00592C63" w:rsidRDefault="0034594F" w:rsidP="0034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427F44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2. Гарантиране</w:t>
      </w:r>
      <w:r w:rsidR="00427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правата на младите доброволци.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Правно регулиране на статута на младите доброволци.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Закрила от възлагане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дейности, които оказват или могат да окажат вредно или опасно влияние върху тяхната психика и здраве.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подходящо обучение и квалификация за младите доброволци,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извършваните от младежите доброволчески дейности.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427F44" w:rsidRDefault="0034594F" w:rsidP="00427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3. Попу</w:t>
      </w:r>
      <w:r w:rsidR="00427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ляризиране на </w:t>
      </w:r>
      <w:proofErr w:type="spellStart"/>
      <w:r w:rsidR="00427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доброволчеството</w:t>
      </w:r>
      <w:proofErr w:type="spellEnd"/>
      <w:r w:rsidR="00427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Удостоверяване и признаване на обучението,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опита и уменията,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 от младите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хора по време на доброволческата дейност.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 и поддържане на добри практики за набиране и обучение на млади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доброволци, за стимулиране, оценка и признание на постиженията им.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„доброволческа книжка”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официален удостоверителен документ за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обстоятелствата, свързани с доброволческата дейност на младите хора.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Правно регулиране на статута на доброволческите организации в общинската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нормативна уредба.</w:t>
      </w:r>
    </w:p>
    <w:p w:rsidR="0034594F" w:rsidRPr="00592C63" w:rsidRDefault="0034594F" w:rsidP="0034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5.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спазване на стандартите за младежкото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публичен контрол в защита на младите доброволци.</w:t>
      </w:r>
    </w:p>
    <w:p w:rsidR="0034594F" w:rsidRPr="00592C63" w:rsidRDefault="0034594F" w:rsidP="0034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508"/>
        <w:gridCol w:w="40"/>
        <w:gridCol w:w="2120"/>
        <w:gridCol w:w="1545"/>
        <w:gridCol w:w="1539"/>
        <w:gridCol w:w="1368"/>
      </w:tblGrid>
      <w:tr w:rsidR="0034594F" w:rsidRPr="00592C63" w:rsidTr="00E0062E">
        <w:trPr>
          <w:trHeight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C99FF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C99FF"/>
                <w:lang w:eastAsia="bg-BG"/>
              </w:rPr>
              <w:t>Индикативен   план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66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Организация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Ресурси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shd w:val="clear" w:color="auto" w:fill="C6D9F1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shd w:val="clear" w:color="auto" w:fill="C6D9F1"/>
                <w:lang w:eastAsia="bg-BG"/>
              </w:rPr>
              <w:t>Период</w:t>
            </w: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eastAsia="bg-BG"/>
              </w:rPr>
              <w:t>Контрол</w:t>
            </w:r>
          </w:p>
        </w:tc>
      </w:tr>
      <w:tr w:rsidR="0034594F" w:rsidRPr="00592C63" w:rsidTr="00E0062E">
        <w:trPr>
          <w:trHeight w:val="261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1.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на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ММС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D55BC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D55BC7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за младежко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доброволчество</w:t>
            </w:r>
            <w:proofErr w:type="spellEnd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правила за признаване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3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доброволчеството</w:t>
            </w:r>
            <w:proofErr w:type="spellEnd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61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дейността на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ММС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D55BC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D55BC7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Клуб„Доброволец”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E0062E">
        <w:trPr>
          <w:trHeight w:val="261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3.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Трявна,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D55BC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D55BC7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информационни кампании за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Трявна,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популяризиране на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</w:tcPr>
          <w:p w:rsidR="0034594F" w:rsidRPr="00592C63" w:rsidRDefault="0034594F" w:rsidP="00112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7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доброволчеството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</w:tcPr>
          <w:p w:rsidR="0034594F" w:rsidRPr="00592C63" w:rsidRDefault="0034594F" w:rsidP="0034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4.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МОН, ММС,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D55BC7" w:rsidP="00112FCB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 год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доброволчески акции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младежи в сферата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 и ЕСФ за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социалните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младежта</w:t>
            </w:r>
            <w:proofErr w:type="spellEnd"/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66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дейности, работа с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2014-2020”;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екология, спорт,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 и др.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FCB" w:rsidRPr="00592C63" w:rsidTr="00E0062E">
        <w:trPr>
          <w:trHeight w:val="284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112FCB" w:rsidRPr="00592C63" w:rsidRDefault="00112FCB" w:rsidP="00112FCB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5.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DE6FE3" w:rsidRDefault="00112FCB" w:rsidP="00112FCB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112FCB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112FCB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E0062E" w:rsidP="00112FCB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20-26 март 2017 г</w:t>
            </w:r>
            <w:r w:rsidR="00112FCB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112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112FCB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112FCB" w:rsidRPr="00592C63" w:rsidRDefault="00112FCB" w:rsidP="00112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DE6FE3" w:rsidRDefault="00112FCB" w:rsidP="00112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седмица на активността,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112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112FCB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112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112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FCB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DE6FE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свързана с различни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FCB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DE6FE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инициативи -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FCB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DE6FE3" w:rsidRDefault="00112FCB" w:rsidP="00112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на градската среда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FCB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DE6FE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залесяване и др.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2FCB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FCB" w:rsidRPr="00592C63" w:rsidRDefault="00112FCB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6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Популяризиране на възможностите за доброволци по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ММС,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E0062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Месечен</w:t>
            </w: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 на ЕС в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чужбина 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”Европа за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на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гражданите”;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чуждестранни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доброволци в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”Гаранция за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младежта</w:t>
            </w:r>
            <w:proofErr w:type="spellEnd"/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897578">
        <w:trPr>
          <w:trHeight w:val="284"/>
        </w:trPr>
        <w:tc>
          <w:tcPr>
            <w:tcW w:w="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2014-2020”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7578" w:rsidRPr="00592C63" w:rsidTr="00897578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97578" w:rsidRPr="00592C63" w:rsidRDefault="00897578" w:rsidP="00970C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970C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Организиране на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467" w:rsidRPr="00592C63" w:rsidRDefault="00422467" w:rsidP="00970C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970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970C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май/юни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970C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897578" w:rsidRPr="00592C63" w:rsidTr="00897578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Национална младежка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970C64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Промяната е в Теб“</w:t>
            </w: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970C64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6966D6" w:rsidP="006966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7578" w:rsidRPr="00592C63" w:rsidTr="00897578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среща на тема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970C64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7578" w:rsidRPr="00592C63" w:rsidTr="00897578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„Активно гражданство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7578" w:rsidRPr="00592C63" w:rsidTr="00605ABD">
        <w:trPr>
          <w:trHeight w:val="284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доброволчество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в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7578" w:rsidRPr="00592C63" w:rsidTr="00605ABD">
        <w:trPr>
          <w:trHeight w:val="284"/>
        </w:trPr>
        <w:tc>
          <w:tcPr>
            <w:tcW w:w="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422467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7578" w:rsidRPr="00592C63" w:rsidRDefault="0089757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062E" w:rsidRDefault="0034594F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НАПРАВЛЕНИЕ 6. ПО-ДОБРО РАЗБИРАНЕ И ПОЗН</w:t>
      </w:r>
      <w:r w:rsidR="00427F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АВАНЕ НА ПРОБЛЕМИТЕ НА МЛАДЕЖТА</w:t>
      </w:r>
    </w:p>
    <w:p w:rsidR="00427F44" w:rsidRPr="00592C63" w:rsidRDefault="00427F44" w:rsidP="0034594F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1. Развитие на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междукултурния</w:t>
      </w:r>
      <w:proofErr w:type="spellEnd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международния диалог на младите хора в Община Трявна с европейската и световна младежка общност.</w:t>
      </w:r>
    </w:p>
    <w:p w:rsidR="0034594F" w:rsidRPr="00592C63" w:rsidRDefault="0034594F" w:rsidP="0034594F">
      <w:pPr>
        <w:spacing w:after="0" w:line="54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Стимулиране и развитие на международния диалог между младите хора и създаване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 да изграждат умения за работа в мултикултурна среда; 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2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Създаване на условия за опознаване на отделните етнически общности и техните култури за стимулиране на толерантност, разбирателство, взаимодействие и диалог между общностите; 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на мобилността на младите хора в страната и в чужбина;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Популяризиране на европейското сътрудничество в младежката сфера.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5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.Стимулиране и подпомагане на участието на българските младежи в международни 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 младежки движения.</w:t>
      </w:r>
    </w:p>
    <w:p w:rsidR="0034594F" w:rsidRPr="00592C63" w:rsidRDefault="0034594F" w:rsidP="0034594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6.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и подпомагане на приобщаването на младите хора към европейското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гражданство и изучаването на европейски езици и култури.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427F44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2. Подобряване на възможностите за реализиране на социалните и творческите умения на младите хора според техните интереси, цели и потребности с насърчаване на младежката инициат</w:t>
      </w:r>
      <w:r w:rsidR="00427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ивност, творчество и изява.</w:t>
      </w:r>
    </w:p>
    <w:p w:rsidR="0034594F" w:rsidRPr="00592C63" w:rsidRDefault="0034594F" w:rsidP="0034594F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повече и по-добри условия за развитие на таланта,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творческите умения 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културното изразяване на младите хора.</w:t>
      </w:r>
    </w:p>
    <w:p w:rsidR="00E0062E" w:rsidRPr="00592C63" w:rsidRDefault="0034594F" w:rsidP="0034594F">
      <w:pPr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2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Подкрепа на младите дебютанти в изкуствата и в различните културни индустрии;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4594F" w:rsidRPr="00592C63" w:rsidRDefault="0034594F" w:rsidP="0034594F">
      <w:pPr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и подпомагане на талантливите млади хора в областта на изкуството,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науката, спорта.</w:t>
      </w:r>
    </w:p>
    <w:p w:rsidR="0034594F" w:rsidRPr="00592C63" w:rsidRDefault="0034594F" w:rsidP="0034594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Подкрепа на талантливи млади хора с интерес към хуманитарните,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инженерните науки 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високите технологии, улесняване на достъпа на младежите до иновации, новости и интерактивни комуникации; </w:t>
      </w:r>
    </w:p>
    <w:p w:rsidR="0034594F" w:rsidRPr="00592C63" w:rsidRDefault="0034594F" w:rsidP="0034594F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5.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младежкото музикално движение и неформалните творчески клубове на територията на Община Трявна в съответствие с европейските стандарти.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3. Насърчаване на здравословния начин на ж</w:t>
      </w:r>
      <w:r w:rsidR="00427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ивот сред младите хора.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1.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Превенция на факторите,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създават риск за здравето на младите хора.</w:t>
      </w:r>
    </w:p>
    <w:p w:rsidR="0034594F" w:rsidRPr="00592C63" w:rsidRDefault="0034594F" w:rsidP="0034594F">
      <w:pPr>
        <w:spacing w:after="0" w:line="240" w:lineRule="auto"/>
        <w:ind w:right="1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2.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разпространение на здравна информация,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съобразена с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нуждите на младите хора чрез мобилизиране на младежките информационни мрежи.</w:t>
      </w:r>
    </w:p>
    <w:p w:rsidR="0034594F" w:rsidRPr="00592C63" w:rsidRDefault="0034594F" w:rsidP="0034594F">
      <w:pPr>
        <w:spacing w:after="0" w:line="240" w:lineRule="auto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3.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здравословния начин живот сред младите хора чрез партньорски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кампании на здравни специалисти, неправителствени, доброволчески и спортни организации на територията на Община Трявна.</w:t>
      </w:r>
    </w:p>
    <w:p w:rsidR="0034594F" w:rsidRPr="00592C63" w:rsidRDefault="0034594F" w:rsidP="0034594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Ефективно прилагане на Насоките на ЕС за физическата дейност на младите хора.</w:t>
      </w:r>
    </w:p>
    <w:p w:rsidR="0034594F" w:rsidRPr="00592C63" w:rsidRDefault="0034594F" w:rsidP="0034594F">
      <w:pPr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5.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съвременни форми на здравно образование в училищата и насърчаване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здравната просвета в читалищата, спортните и младежките организации.</w:t>
      </w:r>
    </w:p>
    <w:p w:rsidR="0034594F" w:rsidRPr="00592C63" w:rsidRDefault="0034594F" w:rsidP="0034594F">
      <w:pPr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6.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подхода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Връстници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обучават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връстници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повече доверие при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формирането на нагласи и придобиване на умения за здравословен начин на живот, безопасно поведение и игнориране на рискови за здравето навици; </w:t>
      </w:r>
    </w:p>
    <w:p w:rsidR="0034594F" w:rsidRPr="00592C63" w:rsidRDefault="0034594F" w:rsidP="0034594F">
      <w:pPr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7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сексуалната култура на младите хора.</w:t>
      </w:r>
    </w:p>
    <w:p w:rsidR="0034594F" w:rsidRPr="00592C63" w:rsidRDefault="0034594F" w:rsidP="0034594F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8.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достъпа на младежите до съвременна научна информация,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качествени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консултантски и здравни услуги, свързани със сексуалното и репродуктивно здраве.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427F44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 4. Превенция на социалното изключване на млади </w:t>
      </w:r>
      <w:r w:rsidR="00427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хора в неравностойно положение.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1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Повишаване на уменията за адаптация и пригодността за трудова заетост на младежите в</w:t>
      </w:r>
    </w:p>
    <w:p w:rsidR="0034594F" w:rsidRPr="00592C63" w:rsidRDefault="0034594F" w:rsidP="0034594F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неравностойно положение. Въвеждане на изнесени/мобилни форми на младежка работа; </w:t>
      </w:r>
    </w:p>
    <w:p w:rsidR="0034594F" w:rsidRPr="00592C63" w:rsidRDefault="0034594F" w:rsidP="0034594F">
      <w:p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Задача 2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качеството на социалните услуги за млади хора и извеждането им от специализирани институции в семейна или подходяща приемна среда, осигуряване на подкрепа за тяхното пълноценно интегриране във всички области на обществения живот.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3.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Ограничаване на социалното изключване между поколенията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34594F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Задача 4.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Насърчаване съпричастността на младите хора към по</w:t>
      </w:r>
      <w:r w:rsidR="00427F4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литиките за социално включване.</w:t>
      </w:r>
    </w:p>
    <w:p w:rsidR="00427F44" w:rsidRDefault="00427F44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7F44" w:rsidRDefault="00427F44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7F44" w:rsidRDefault="00427F44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7F44" w:rsidRPr="00592C63" w:rsidRDefault="00427F44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80" w:rightFromText="180" w:vertAnchor="text" w:tblpY="1"/>
        <w:tblOverlap w:val="never"/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508"/>
        <w:gridCol w:w="40"/>
        <w:gridCol w:w="2120"/>
        <w:gridCol w:w="6"/>
        <w:gridCol w:w="1539"/>
        <w:gridCol w:w="1539"/>
        <w:gridCol w:w="1368"/>
      </w:tblGrid>
      <w:tr w:rsidR="0034594F" w:rsidRPr="00592C63" w:rsidTr="0034594F">
        <w:trPr>
          <w:trHeight w:val="28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C99FF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C99FF"/>
                <w:lang w:eastAsia="bg-BG"/>
              </w:rPr>
              <w:t>Индикативен   план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8" w:space="0" w:color="CC99FF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66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Организация</w:t>
            </w: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Ресурси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shd w:val="clear" w:color="auto" w:fill="C6D9F1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shd w:val="clear" w:color="auto" w:fill="C6D9F1"/>
                <w:lang w:eastAsia="bg-BG"/>
              </w:rPr>
              <w:t>Период</w:t>
            </w: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eastAsia="bg-BG"/>
              </w:rPr>
              <w:t>Контрол</w:t>
            </w:r>
          </w:p>
        </w:tc>
      </w:tr>
      <w:tr w:rsidR="0034594F" w:rsidRPr="00592C63" w:rsidTr="0034594F">
        <w:trPr>
          <w:trHeight w:val="258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5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Проучване на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8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E0062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34594F">
        <w:trPr>
          <w:trHeight w:val="258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58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мнението 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нагласите на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младежите за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степента на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диалогичност</w:t>
            </w:r>
            <w:proofErr w:type="spellEnd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обратна връзка с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публичните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институции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E0062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събития, конкурси и фестивали: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Трявна;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Програмна инициатива „Възможно-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</w:t>
            </w:r>
            <w:proofErr w:type="spellEnd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младежта</w:t>
            </w:r>
            <w:proofErr w:type="spellEnd"/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2014-2020”;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ММС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.1.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конкурс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5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Юни  201</w:t>
            </w:r>
            <w:r w:rsidR="00E0062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153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лирично </w:t>
            </w:r>
          </w:p>
        </w:tc>
        <w:tc>
          <w:tcPr>
            <w:tcW w:w="2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стихотворение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името на Петко и 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Пенчо </w:t>
            </w: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Славейкови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 xml:space="preserve"> 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</w:t>
            </w:r>
            <w:proofErr w:type="spellStart"/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</w:t>
            </w:r>
            <w:proofErr w:type="spellEnd"/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Международен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Юли 201</w:t>
            </w:r>
            <w:r w:rsidR="00E0062E"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фолклорен фестивал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Дарители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 xml:space="preserve"> 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.3.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Конкурс за изпълнители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български популярни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201</w:t>
            </w:r>
            <w:r w:rsidR="00E0062E"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песни „Планински</w:t>
            </w:r>
          </w:p>
        </w:tc>
        <w:tc>
          <w:tcPr>
            <w:tcW w:w="2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Дарители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славей”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 xml:space="preserve"> 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.4.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Театрални празници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Септември -октомври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201</w:t>
            </w:r>
            <w:r w:rsidR="00E0062E"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Дарители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.5.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Пленер дърворезба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Май</w:t>
            </w:r>
            <w:r w:rsidR="0034594F"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 xml:space="preserve"> 201</w:t>
            </w: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„Тревненско слънце”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Дарители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 и ЕСФ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.6.</w:t>
            </w: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Архитектурен пленер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34594F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Март-юни</w:t>
            </w:r>
            <w:r w:rsidR="0034594F"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201</w:t>
            </w:r>
            <w:r w:rsidR="00E0062E" w:rsidRPr="00592C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Дарители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84"/>
        </w:trPr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 и ЕСФ</w:t>
            </w:r>
          </w:p>
        </w:tc>
        <w:tc>
          <w:tcPr>
            <w:tcW w:w="15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tbl>
      <w:tblPr>
        <w:tblW w:w="9633" w:type="dxa"/>
        <w:tblInd w:w="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508"/>
        <w:gridCol w:w="2166"/>
        <w:gridCol w:w="1539"/>
        <w:gridCol w:w="1539"/>
        <w:gridCol w:w="1368"/>
      </w:tblGrid>
      <w:tr w:rsidR="0034594F" w:rsidRPr="00592C63" w:rsidTr="0034594F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.7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Детски празник „В търсене на съкровището“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юни 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34594F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70FEF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  <w:r w:rsidR="00E0062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.8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2A574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Организиране на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юни 2017 год.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2A5741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седмица на талантите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70FEF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E0062E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.9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празник „Ваканция здравей“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юни 2017 год.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E006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062E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62E" w:rsidRPr="00592C63" w:rsidRDefault="00E0062E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599B" w:rsidRPr="00592C63" w:rsidTr="00592C63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58599B" w:rsidRPr="00592C63" w:rsidRDefault="00E70FEF" w:rsidP="0058599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58599B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Областен турнир по </w:t>
            </w:r>
            <w:proofErr w:type="spellStart"/>
            <w:r w:rsidRPr="00DE6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стрийтбол</w:t>
            </w:r>
            <w:proofErr w:type="spellEnd"/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 год.</w:t>
            </w: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58599B" w:rsidRPr="00592C63" w:rsidTr="00592C63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58599B" w:rsidRPr="00592C63" w:rsidRDefault="0058599B" w:rsidP="00592C6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58599B" w:rsidRPr="00592C63" w:rsidTr="00592C63">
        <w:trPr>
          <w:trHeight w:val="261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58599B" w:rsidRPr="00592C63" w:rsidRDefault="0058599B" w:rsidP="00592C6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МКБППМН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592C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599B" w:rsidRPr="00592C63" w:rsidTr="00E0062E">
        <w:trPr>
          <w:trHeight w:val="261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58599B" w:rsidRPr="00592C63" w:rsidRDefault="0058599B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99B" w:rsidRPr="00592C63" w:rsidRDefault="0058599B" w:rsidP="0034594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E0062E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E70FE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34594F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Организиране на </w:t>
            </w:r>
          </w:p>
        </w:tc>
        <w:tc>
          <w:tcPr>
            <w:tcW w:w="21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ММС, ЕЕА-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A42490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A42490"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Месечен</w:t>
            </w:r>
          </w:p>
        </w:tc>
      </w:tr>
      <w:tr w:rsidR="0034594F" w:rsidRPr="00592C63" w:rsidTr="0034594F">
        <w:trPr>
          <w:trHeight w:val="277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обучения, дискусии и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НПО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грантс</w:t>
            </w:r>
            <w:proofErr w:type="spellEnd"/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</w:t>
            </w:r>
          </w:p>
        </w:tc>
      </w:tr>
      <w:tr w:rsidR="0034594F" w:rsidRPr="00592C63" w:rsidTr="0034594F">
        <w:trPr>
          <w:trHeight w:val="277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конференции за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на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34594F">
        <w:trPr>
          <w:trHeight w:val="276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здравословния начин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ЕИП</w:t>
            </w: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604F18">
        <w:trPr>
          <w:trHeight w:val="60"/>
        </w:trPr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живот сред младите </w:t>
            </w:r>
          </w:p>
        </w:tc>
        <w:tc>
          <w:tcPr>
            <w:tcW w:w="2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604F18">
        <w:trPr>
          <w:trHeight w:val="276"/>
        </w:trPr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2C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хора.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E006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594F" w:rsidRPr="00592C63" w:rsidTr="00604F18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34594F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A23658" w:rsidP="00A236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на здравословното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A2365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Сдружение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A2365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A23658" w:rsidP="00A23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юли/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4F" w:rsidRPr="00592C63" w:rsidRDefault="0034594F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4F18" w:rsidRPr="00592C63" w:rsidTr="00604F18">
        <w:trPr>
          <w:trHeight w:val="28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A2365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хранене за деца и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A2365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„Промяната е в Теб“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A23658" w:rsidP="00A23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4F18" w:rsidRPr="00592C63" w:rsidTr="00604F18">
        <w:trPr>
          <w:trHeight w:val="28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A2365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младежи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A23658" w:rsidP="00A23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2017г.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4F18" w:rsidRPr="00592C63" w:rsidTr="00604F18">
        <w:trPr>
          <w:trHeight w:val="28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18" w:rsidRPr="00592C63" w:rsidRDefault="00604F18" w:rsidP="00345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97437" w:rsidRDefault="00D97437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27F44" w:rsidRPr="00592C63" w:rsidRDefault="00427F44" w:rsidP="0034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2490" w:rsidRDefault="0034594F" w:rsidP="00A4249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2C63">
        <w:rPr>
          <w:rFonts w:ascii="Times New Roman" w:eastAsia="Times New Roman" w:hAnsi="Times New Roman"/>
          <w:b/>
          <w:sz w:val="24"/>
          <w:szCs w:val="24"/>
        </w:rPr>
        <w:t>РЕСУРСИ ЗА ИЗПЪЛНЕНИЕ НА ПРОГРАМАТА</w:t>
      </w:r>
    </w:p>
    <w:p w:rsidR="00D97437" w:rsidRPr="00D97437" w:rsidRDefault="00D97437" w:rsidP="00D97437">
      <w:pPr>
        <w:pStyle w:val="a7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594F" w:rsidRPr="00592C63" w:rsidRDefault="0034594F" w:rsidP="003459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Ресурси, регламентирани в националното законодателство</w:t>
      </w:r>
    </w:p>
    <w:p w:rsidR="0034594F" w:rsidRPr="00592C63" w:rsidRDefault="0034594F" w:rsidP="0042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Средствата за дейностите по програмата се осигуряват в рамките на Бюджета на Република България чрез Министерството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спорта и Министерството на образованието на РБ за съответната година. За 2016 година за реализиране на програмата на територията на цялата страна са заложени 1 800 000 лв. Средствата са индикативни и ще бъдат регламентирани в зависимо</w:t>
      </w:r>
      <w:r w:rsidR="00427F44">
        <w:rPr>
          <w:rFonts w:ascii="Times New Roman" w:eastAsia="Times New Roman" w:hAnsi="Times New Roman" w:cs="Times New Roman"/>
          <w:sz w:val="24"/>
          <w:szCs w:val="24"/>
          <w:lang w:eastAsia="bg-BG"/>
        </w:rPr>
        <w:t>ст от възможностите на бюджета.</w:t>
      </w:r>
    </w:p>
    <w:p w:rsidR="00427F44" w:rsidRDefault="0034594F" w:rsidP="00427F44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ЗИДЗМ ясно урежда правилата за финансиране на младежките дейности чрез създаването на нова Глава Девета „Финансиране”в чл. 57-60.</w:t>
      </w:r>
    </w:p>
    <w:p w:rsidR="0034594F" w:rsidRPr="00427F44" w:rsidRDefault="0034594F" w:rsidP="00427F44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Финансирането на националната младежка политика се осъществява със средства от: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1"/>
          <w:numId w:val="15"/>
        </w:numPr>
        <w:tabs>
          <w:tab w:val="left" w:pos="1020"/>
        </w:tabs>
        <w:spacing w:after="0" w:line="240" w:lineRule="auto"/>
        <w:ind w:left="1020" w:hanging="2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републиканския бюджет;</w:t>
      </w:r>
    </w:p>
    <w:p w:rsidR="0034594F" w:rsidRPr="00592C63" w:rsidRDefault="0034594F" w:rsidP="0034594F">
      <w:pPr>
        <w:numPr>
          <w:ilvl w:val="1"/>
          <w:numId w:val="15"/>
        </w:numPr>
        <w:tabs>
          <w:tab w:val="left" w:pos="1020"/>
        </w:tabs>
        <w:spacing w:after="0" w:line="240" w:lineRule="auto"/>
        <w:ind w:left="1020" w:hanging="2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общинските бюджети;</w:t>
      </w:r>
    </w:p>
    <w:p w:rsidR="0034594F" w:rsidRPr="00592C63" w:rsidRDefault="0034594F" w:rsidP="0034594F">
      <w:pPr>
        <w:numPr>
          <w:ilvl w:val="1"/>
          <w:numId w:val="15"/>
        </w:numPr>
        <w:tabs>
          <w:tab w:val="left" w:pos="1020"/>
        </w:tabs>
        <w:spacing w:after="0" w:line="240" w:lineRule="auto"/>
        <w:ind w:left="1020" w:hanging="2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и международни програми;</w:t>
      </w:r>
    </w:p>
    <w:p w:rsidR="0034594F" w:rsidRPr="00592C63" w:rsidRDefault="0034594F" w:rsidP="0034594F">
      <w:pPr>
        <w:numPr>
          <w:ilvl w:val="1"/>
          <w:numId w:val="15"/>
        </w:numPr>
        <w:tabs>
          <w:tab w:val="left" w:pos="1020"/>
        </w:tabs>
        <w:spacing w:after="0" w:line="240" w:lineRule="auto"/>
        <w:ind w:left="1020" w:hanging="2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дарения от местни и чуждестранни физически и юридически лица;</w:t>
      </w:r>
    </w:p>
    <w:p w:rsidR="0034594F" w:rsidRPr="00592C63" w:rsidRDefault="0034594F" w:rsidP="0034594F">
      <w:pPr>
        <w:numPr>
          <w:ilvl w:val="1"/>
          <w:numId w:val="15"/>
        </w:numPr>
        <w:tabs>
          <w:tab w:val="left" w:pos="1020"/>
        </w:tabs>
        <w:spacing w:after="0" w:line="240" w:lineRule="auto"/>
        <w:ind w:left="1020" w:hanging="2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приходи от други източници.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1"/>
          <w:numId w:val="16"/>
        </w:numPr>
        <w:tabs>
          <w:tab w:val="left" w:pos="979"/>
        </w:tabs>
        <w:spacing w:after="0" w:line="240" w:lineRule="auto"/>
        <w:ind w:left="780" w:right="46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Финансовите средства за изпълнение на националните и общински програми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осигуряват от републиканския бюджет и се планират ежегодно със Закона за държавния бюджет на Република България и общинските бюджети.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1"/>
          <w:numId w:val="16"/>
        </w:numPr>
        <w:tabs>
          <w:tab w:val="left" w:pos="979"/>
        </w:tabs>
        <w:spacing w:after="0" w:line="240" w:lineRule="auto"/>
        <w:ind w:left="780" w:right="32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Условията и редът за финансиране на проекти по националните програми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определят с наредба на Министъра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спорта съгласувано с Министъра на финансите.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1"/>
          <w:numId w:val="16"/>
        </w:numPr>
        <w:tabs>
          <w:tab w:val="left" w:pos="979"/>
        </w:tabs>
        <w:spacing w:after="0" w:line="240" w:lineRule="auto"/>
        <w:ind w:left="780" w:right="64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Стандартите за делегираните от държавата младежки дейности и за финансиране чрез общинските бюджети на местни младежки дейности се определят с решение на Министерски съвет.</w:t>
      </w:r>
    </w:p>
    <w:p w:rsidR="0034594F" w:rsidRPr="00592C63" w:rsidRDefault="0034594F" w:rsidP="0034594F">
      <w:pPr>
        <w:tabs>
          <w:tab w:val="left" w:pos="979"/>
        </w:tabs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22"/>
        </w:num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Инициативи на ЕК и програми за финансиране на младежки дейности през новия програмен период 2014-2020 г.:</w:t>
      </w:r>
    </w:p>
    <w:p w:rsidR="0034594F" w:rsidRPr="00592C63" w:rsidRDefault="0034594F" w:rsidP="0034594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tabs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2.1 ЕС осигурява 6 млрд. евро, които ще бъдат използвани за стимулиране на младежката заетост в новия програмен период (2014-2020 г.). България ще може да се възползва от тези средства чрез финансиране по европейската инициатива„Гаранция за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2014-2020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”. Чрез националния план за изпълнение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„Гаранцията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България ще усвои от Европейския съюз (ЕС) през следващите две години около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100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милиона евро за стимулиране на младежката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заетост.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е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Пакет за младежка заетост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включва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четири области за действие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първата-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Гаранция за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предвижда на всички младежи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 до 25 години да се осигури добро предложение за работа, включване във форма на продължаващо образование, чиракуване или стаж в рамките на четири месеца, след като са завършили формално образование или са останали без работа.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2.2 В края на 2014 година Министерство на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спорта отвори за кандидатстване програмата, с която се поставя начало за изграждане на младежка инфраструктура. </w:t>
      </w:r>
    </w:p>
    <w:p w:rsidR="0034594F" w:rsidRPr="00592C63" w:rsidRDefault="0034594F" w:rsidP="0034594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 цялата страна ще бъдат създадени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младежки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информационно-консултативни центрове. Тяхната работа ще бъде насочена към консултиране, съдействие за придобиване на умения и професионална квалификация на младежи на възраст между 15 и 29 г. Област Габрово разполага с 1 МИКЦ.</w:t>
      </w:r>
    </w:p>
    <w:p w:rsidR="0034594F" w:rsidRPr="00592C63" w:rsidRDefault="0034594F" w:rsidP="0034594F">
      <w:pPr>
        <w:numPr>
          <w:ilvl w:val="1"/>
          <w:numId w:val="22"/>
        </w:numPr>
        <w:tabs>
          <w:tab w:val="left" w:pos="1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Европейска инициатива „Възможности за 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”-</w:t>
      </w:r>
    </w:p>
    <w:p w:rsidR="0034594F" w:rsidRPr="00592C63" w:rsidRDefault="0034594F" w:rsidP="0034594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подготвително действие на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 4 млн. евро за подпомагане на страните от ЕС да осигурят на младите хора работа, по-нататъшно образование или обучение/преквалификация.</w:t>
      </w:r>
    </w:p>
    <w:p w:rsidR="0034594F" w:rsidRPr="00592C63" w:rsidRDefault="0034594F" w:rsidP="0034594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Подпрограма: </w:t>
      </w:r>
      <w:hyperlink r:id="rId9" w:history="1">
        <w:r w:rsidRPr="00592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 xml:space="preserve">европейска рамка за качество на стажовете; </w:t>
        </w:r>
      </w:hyperlink>
      <w:hyperlink r:id="rId10" w:history="1">
        <w:r w:rsidRPr="00592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Твоята първа работа с</w:t>
        </w:r>
      </w:hyperlink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1" w:history="1">
        <w:proofErr w:type="spellStart"/>
        <w:r w:rsidRPr="00592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Eures</w:t>
        </w:r>
        <w:proofErr w:type="spellEnd"/>
        <w:r w:rsidRPr="00592C6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</w:hyperlink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подготвително действие за подпомагане на 5000 млади хора да намерят работа в друга страна от ЕС (2012-2015 г.).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Засилено използване на ЕСФ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националните правителства за оползотворяване на 30 млрд. евро за проекти за периода 2014-2020г. и 1,3 млн. евро във вид на техническа помощ по линия на ЕСФ за създаване на </w:t>
      </w:r>
      <w:hyperlink r:id="rId12" w:history="1">
        <w:r w:rsidRPr="00592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схеми за</w:t>
        </w:r>
      </w:hyperlink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3" w:history="1">
        <w:r w:rsidRPr="00592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професионално обучение</w:t>
        </w:r>
        <w:r w:rsidRPr="00592C6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</w:t>
        </w:r>
      </w:hyperlink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4594F" w:rsidRPr="00592C63" w:rsidRDefault="0034594F" w:rsidP="0034594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1"/>
          <w:numId w:val="22"/>
        </w:numPr>
        <w:tabs>
          <w:tab w:val="left" w:pos="1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Програма „</w:t>
      </w:r>
      <w:proofErr w:type="spellStart"/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 xml:space="preserve"> в движение“ 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е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широкообхватен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пакет инициативи за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 xml:space="preserve"> образование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 xml:space="preserve"> заетост 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за младите хора в Европа.</w:t>
      </w:r>
    </w:p>
    <w:p w:rsidR="0034594F" w:rsidRPr="00592C63" w:rsidRDefault="0034594F" w:rsidP="0034594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2456E5" w:rsidP="0034594F">
      <w:pPr>
        <w:numPr>
          <w:ilvl w:val="1"/>
          <w:numId w:val="22"/>
        </w:numPr>
        <w:tabs>
          <w:tab w:val="left" w:pos="1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4" w:history="1">
        <w:r w:rsidR="0034594F" w:rsidRPr="00592C6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 xml:space="preserve">Еразъм за предприемачи </w:t>
        </w:r>
      </w:hyperlink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600</w:t>
      </w:r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 за млади предприемачи в малки предприятия в</w:t>
      </w:r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страни от ЕС</w:t>
      </w:r>
    </w:p>
    <w:p w:rsidR="0034594F" w:rsidRPr="00592C63" w:rsidRDefault="0034594F" w:rsidP="0034594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2456E5" w:rsidP="0034594F">
      <w:pPr>
        <w:numPr>
          <w:ilvl w:val="1"/>
          <w:numId w:val="22"/>
        </w:numPr>
        <w:tabs>
          <w:tab w:val="left" w:pos="1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5" w:history="1">
        <w:r w:rsidR="0034594F" w:rsidRPr="00592C6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 xml:space="preserve">Европейска доброволческа служба </w:t>
        </w:r>
      </w:hyperlink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10 000</w:t>
      </w:r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възможности за </w:t>
      </w:r>
      <w:proofErr w:type="spellStart"/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</w:t>
      </w:r>
      <w:proofErr w:type="spellEnd"/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целия</w:t>
      </w:r>
      <w:r w:rsidR="0034594F"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94F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ЕС.</w:t>
      </w:r>
    </w:p>
    <w:p w:rsidR="0034594F" w:rsidRPr="00592C63" w:rsidRDefault="0034594F" w:rsidP="0034594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1"/>
          <w:numId w:val="22"/>
        </w:numPr>
        <w:tabs>
          <w:tab w:val="left" w:pos="12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Европейска инициатива „Хоризонт 2020”.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новия програмен период тя ще обедини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съществуващите към момента три отделни програми/инициативи на ЕК: за Наука, Иновации и Седма рамкова програма. Общият размер на финансирането, което се 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предвижда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за периода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2014-2020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г.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е в размер на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80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млрд.</w:t>
      </w: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 xml:space="preserve">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bg-BG"/>
        </w:rPr>
        <w:t>евро.</w:t>
      </w:r>
    </w:p>
    <w:p w:rsidR="0034594F" w:rsidRPr="00592C63" w:rsidRDefault="0034594F" w:rsidP="0034594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56" w:lineRule="exac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  <w:t>Програмата ще се съсредоточи върху превръщането на революционните достижения в областта на науката в иновационни продукти и услуги, които осигуряват възможности за развитие на висшите училища в рамките на Общността, малкият и среден бизнес, научните изследвания и осигуряват нови възможности за младежка заетост.</w:t>
      </w:r>
    </w:p>
    <w:p w:rsidR="00D863EC" w:rsidRDefault="00D863EC" w:rsidP="0034594F">
      <w:pPr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D863EC" w:rsidRPr="00592C63" w:rsidRDefault="00D863EC" w:rsidP="0034594F">
      <w:pPr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VII. 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ИНДИКАТОРИ ЗА ЕФЕКТИВНОСТ НА ОБЩИНС</w:t>
      </w:r>
      <w:r w:rsidR="00DE6F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КИ ГОДИШЕН ПЛАН ЗА МЛАДЕЖТА </w:t>
      </w:r>
      <w:r w:rsidR="00325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2017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 вид предоставени информационни услуги в резултат на общинския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Трявна;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 вид проведени обучения на територията на Община Трявна;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осъществени срещи и конференции;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 вид информационни кампании;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участници в обучения, проведени като резултат на общинския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Трявна;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 вид младежки инициативи с участието на млади доброволци територията на Община Трявна;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млади доброволци участници в различни инициативи в Община Трявна и в по-широк териториален обхват;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 тип организации/институции на територията на Община Трявна, приемащи доброволци;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 вид обучителни програми за работа с млади доброволци в Община Трявна;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Брой, вид и честота на предоставянето на консултации на млади хора в Община Трявна;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 вид кампании и инициативи, проведени като резултат на общинския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Трявна;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млади хора участвали в различни кампании и инициативи;</w:t>
      </w:r>
    </w:p>
    <w:p w:rsidR="0034594F" w:rsidRPr="00592C63" w:rsidRDefault="0034594F" w:rsidP="0034594F">
      <w:pPr>
        <w:numPr>
          <w:ilvl w:val="0"/>
          <w:numId w:val="18"/>
        </w:numPr>
        <w:tabs>
          <w:tab w:val="left" w:pos="780"/>
        </w:tabs>
        <w:spacing w:after="0" w:line="240" w:lineRule="auto"/>
        <w:ind w:left="78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 вид послания, разпространени чрез младежките кампании, в резултат на общинския годишен план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Трявна</w:t>
      </w:r>
      <w:r w:rsidRPr="00592C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4594F" w:rsidRDefault="0034594F" w:rsidP="0034594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7F44" w:rsidRPr="00592C63" w:rsidRDefault="00427F44" w:rsidP="0034594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Очаквани резултати от изпълнението на Общинс</w:t>
      </w:r>
      <w:r w:rsidR="00DE6F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ки годишен план за </w:t>
      </w:r>
      <w:proofErr w:type="spellStart"/>
      <w:r w:rsidR="00DE6F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младежта</w:t>
      </w:r>
      <w:proofErr w:type="spellEnd"/>
      <w:r w:rsidR="00DE6F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25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2017</w:t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numPr>
          <w:ilvl w:val="0"/>
          <w:numId w:val="2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По-добра информираност на младите хора за възможностите за професионална и личностна реализация;</w:t>
      </w:r>
    </w:p>
    <w:p w:rsidR="0034594F" w:rsidRPr="00592C63" w:rsidRDefault="0034594F" w:rsidP="0034594F">
      <w:pPr>
        <w:numPr>
          <w:ilvl w:val="0"/>
          <w:numId w:val="2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Увеличен брой младежи, участващи в младежко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4594F" w:rsidRPr="00592C63" w:rsidRDefault="0034594F" w:rsidP="0034594F">
      <w:pPr>
        <w:numPr>
          <w:ilvl w:val="0"/>
          <w:numId w:val="2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Увеличаване на броя на младите доброволци, осъществили дългосрочно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доброволчество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(над два месеца) – минимум 10 младежи, положили дългосрочен доброволен труд в различни организации или институции;</w:t>
      </w:r>
    </w:p>
    <w:p w:rsidR="0034594F" w:rsidRPr="00592C63" w:rsidRDefault="0034594F" w:rsidP="0034594F">
      <w:pPr>
        <w:numPr>
          <w:ilvl w:val="0"/>
          <w:numId w:val="2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Възраждане на доброволческите ценности и практики за упражняването на доброволен труд –брой институции и организации на територията на Община Трявна изявили желание и да приемат млади доброволци. </w:t>
      </w:r>
    </w:p>
    <w:p w:rsidR="0034594F" w:rsidRPr="00592C63" w:rsidRDefault="0034594F" w:rsidP="0034594F">
      <w:pPr>
        <w:numPr>
          <w:ilvl w:val="0"/>
          <w:numId w:val="23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Идентифицирани и популяризирани добри практики – разгледани, обследвани, приложени и оповестени минимум </w:t>
      </w:r>
      <w:r w:rsidR="00D55BC7"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0 младежки инициативи.</w:t>
      </w:r>
    </w:p>
    <w:p w:rsidR="00427F44" w:rsidRDefault="0034594F" w:rsidP="0034594F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VI</w:t>
      </w: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II</w:t>
      </w:r>
      <w:r w:rsidRPr="00592C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 КОНТРОЛ И НАБЛЮДЕНИЕ НА ОБЩИ</w:t>
      </w:r>
      <w:r w:rsidR="00427F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НСКИЯ ГОДИШЕН ПЛАН ЗА МЛАДЕЖТА </w:t>
      </w:r>
    </w:p>
    <w:p w:rsidR="00537AC9" w:rsidRPr="00592C63" w:rsidRDefault="00537AC9" w:rsidP="0034594F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Контрол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Контролът по изпълнението на плана се осъществява от кмета на Община Трявна.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Наблюдение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Мониторинг на текущото изпълнение на утвърдените дейности се осъществява от Дирекция „Стопански дейности и устойчиво развитие” в Община Трявна.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Мониторинг на текущото изпълнение на финансираните дейности от бюджета на Община Трявна се осъществява от Дирекция „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Финасово-счетоводна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административно обслужване” в Община Трявна. В качество на управляващи органи по оперативни програми и програмни оператори ММС и МОН контролират изпълнението на дейности, финансирани чрез фондове на ЕС и ЕИП.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Наблюдение на текущи дейности и проекти, финансирани по „Индикативна програма за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се извършва и от Дирекция „Младеж” в съответствие с функциите, описани в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Устройствения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Министерство на </w:t>
      </w:r>
      <w:proofErr w:type="spellStart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592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спорта.</w:t>
      </w: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594F" w:rsidRPr="00592C63" w:rsidRDefault="0034594F" w:rsidP="00345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F15" w:rsidRPr="005F0F15" w:rsidRDefault="0034594F" w:rsidP="005F0F15">
      <w:pPr>
        <w:widowControl w:val="0"/>
        <w:suppressAutoHyphens/>
        <w:autoSpaceDE w:val="0"/>
        <w:spacing w:after="0" w:line="240" w:lineRule="auto"/>
        <w:ind w:left="707" w:firstLine="709"/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</w:pPr>
      <w:r w:rsidRPr="00592C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92C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5F0F15" w:rsidRPr="005F0F15" w:rsidRDefault="005F0F15" w:rsidP="005F0F15">
      <w:pPr>
        <w:widowControl w:val="0"/>
        <w:suppressAutoHyphens/>
        <w:autoSpaceDE w:val="0"/>
        <w:spacing w:after="0" w:line="240" w:lineRule="auto"/>
        <w:ind w:left="707" w:firstLine="709"/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5F0F15"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  <w:t>ПРЕДСЕДАТЕЛ НА ОБЩИНСКИ СЪВЕТ ТРЯВНА:</w:t>
      </w:r>
    </w:p>
    <w:p w:rsidR="005F0F15" w:rsidRPr="005F0F15" w:rsidRDefault="005F0F15" w:rsidP="005F0F15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</w:pPr>
      <w:r w:rsidRPr="005F0F15"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</w:t>
      </w:r>
      <w:r w:rsidRPr="005F0F15"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  <w:tab/>
      </w:r>
    </w:p>
    <w:p w:rsidR="005F0F15" w:rsidRPr="005F0F15" w:rsidRDefault="005F0F15" w:rsidP="005F0F15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</w:pPr>
      <w:r w:rsidRPr="005F0F15">
        <w:rPr>
          <w:rFonts w:ascii="Times New Roman" w:eastAsia="TimesNewRoman" w:hAnsi="Times New Roman" w:cs="Times New Roman"/>
          <w:b/>
          <w:kern w:val="1"/>
          <w:sz w:val="20"/>
          <w:szCs w:val="20"/>
          <w:lang w:eastAsia="hi-IN" w:bidi="hi-IN"/>
        </w:rPr>
        <w:t xml:space="preserve">        / СИЛВИЯ КРЪСТЕВА /</w:t>
      </w:r>
    </w:p>
    <w:p w:rsidR="0034594F" w:rsidRPr="00592C63" w:rsidRDefault="0034594F" w:rsidP="00D55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E7D" w:rsidRPr="00592C63" w:rsidRDefault="00372E7D">
      <w:pPr>
        <w:rPr>
          <w:rFonts w:ascii="Times New Roman" w:hAnsi="Times New Roman" w:cs="Times New Roman"/>
          <w:sz w:val="24"/>
          <w:szCs w:val="24"/>
        </w:rPr>
      </w:pPr>
    </w:p>
    <w:sectPr w:rsidR="00372E7D" w:rsidRPr="00592C63" w:rsidSect="004C250E">
      <w:footerReference w:type="default" r:id="rId16"/>
      <w:pgSz w:w="12240" w:h="15840" w:code="1"/>
      <w:pgMar w:top="1242" w:right="612" w:bottom="1797" w:left="686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E5" w:rsidRDefault="002456E5" w:rsidP="008B4122">
      <w:pPr>
        <w:spacing w:after="0" w:line="240" w:lineRule="auto"/>
      </w:pPr>
      <w:r>
        <w:separator/>
      </w:r>
    </w:p>
  </w:endnote>
  <w:endnote w:type="continuationSeparator" w:id="0">
    <w:p w:rsidR="002456E5" w:rsidRDefault="002456E5" w:rsidP="008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04678"/>
      <w:docPartObj>
        <w:docPartGallery w:val="Page Numbers (Bottom of Page)"/>
        <w:docPartUnique/>
      </w:docPartObj>
    </w:sdtPr>
    <w:sdtContent>
      <w:p w:rsidR="00A63D16" w:rsidRDefault="00A63D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97578" w:rsidRDefault="008975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E5" w:rsidRDefault="002456E5" w:rsidP="008B4122">
      <w:pPr>
        <w:spacing w:after="0" w:line="240" w:lineRule="auto"/>
      </w:pPr>
      <w:r>
        <w:separator/>
      </w:r>
    </w:p>
  </w:footnote>
  <w:footnote w:type="continuationSeparator" w:id="0">
    <w:p w:rsidR="002456E5" w:rsidRDefault="002456E5" w:rsidP="008B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5E45D3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D3D04C42"/>
    <w:lvl w:ilvl="0" w:tplc="014AF580">
      <w:start w:val="1"/>
      <w:numFmt w:val="bullet"/>
      <w:lvlText w:val=""/>
      <w:lvlJc w:val="left"/>
      <w:rPr>
        <w:sz w:val="18"/>
        <w:szCs w:val="18"/>
        <w:lang w:val="bg-BG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257130A2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2BBD95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BCD49E50"/>
    <w:lvl w:ilvl="0" w:tplc="4B465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4538C5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6"/>
    <w:multiLevelType w:val="hybridMultilevel"/>
    <w:tmpl w:val="9A261DD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2E67094"/>
    <w:multiLevelType w:val="hybridMultilevel"/>
    <w:tmpl w:val="43CC4662"/>
    <w:lvl w:ilvl="0" w:tplc="7EF612F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4622C0B"/>
    <w:multiLevelType w:val="multilevel"/>
    <w:tmpl w:val="981030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15D71F07"/>
    <w:multiLevelType w:val="hybridMultilevel"/>
    <w:tmpl w:val="33B4CE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10178"/>
    <w:multiLevelType w:val="hybridMultilevel"/>
    <w:tmpl w:val="133EA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92B6C"/>
    <w:multiLevelType w:val="hybridMultilevel"/>
    <w:tmpl w:val="FAEE48FA"/>
    <w:lvl w:ilvl="0" w:tplc="0190295C">
      <w:start w:val="1"/>
      <w:numFmt w:val="bullet"/>
      <w:lvlText w:val="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3">
    <w:nsid w:val="322C0468"/>
    <w:multiLevelType w:val="hybridMultilevel"/>
    <w:tmpl w:val="978C7038"/>
    <w:lvl w:ilvl="0" w:tplc="86E6BFC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14BC8"/>
    <w:multiLevelType w:val="hybridMultilevel"/>
    <w:tmpl w:val="EB304FEC"/>
    <w:lvl w:ilvl="0" w:tplc="582AA88E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53995C3D"/>
    <w:multiLevelType w:val="hybridMultilevel"/>
    <w:tmpl w:val="B8504640"/>
    <w:lvl w:ilvl="0" w:tplc="0402000F">
      <w:start w:val="1"/>
      <w:numFmt w:val="decimal"/>
      <w:lvlText w:val="%1."/>
      <w:lvlJc w:val="left"/>
      <w:pPr>
        <w:ind w:left="1144" w:hanging="360"/>
      </w:pPr>
    </w:lvl>
    <w:lvl w:ilvl="1" w:tplc="04020019" w:tentative="1">
      <w:start w:val="1"/>
      <w:numFmt w:val="lowerLetter"/>
      <w:lvlText w:val="%2."/>
      <w:lvlJc w:val="left"/>
      <w:pPr>
        <w:ind w:left="1864" w:hanging="360"/>
      </w:pPr>
    </w:lvl>
    <w:lvl w:ilvl="2" w:tplc="0402001B" w:tentative="1">
      <w:start w:val="1"/>
      <w:numFmt w:val="lowerRoman"/>
      <w:lvlText w:val="%3."/>
      <w:lvlJc w:val="right"/>
      <w:pPr>
        <w:ind w:left="2584" w:hanging="180"/>
      </w:pPr>
    </w:lvl>
    <w:lvl w:ilvl="3" w:tplc="0402000F" w:tentative="1">
      <w:start w:val="1"/>
      <w:numFmt w:val="decimal"/>
      <w:lvlText w:val="%4."/>
      <w:lvlJc w:val="left"/>
      <w:pPr>
        <w:ind w:left="3304" w:hanging="360"/>
      </w:pPr>
    </w:lvl>
    <w:lvl w:ilvl="4" w:tplc="04020019" w:tentative="1">
      <w:start w:val="1"/>
      <w:numFmt w:val="lowerLetter"/>
      <w:lvlText w:val="%5."/>
      <w:lvlJc w:val="left"/>
      <w:pPr>
        <w:ind w:left="4024" w:hanging="360"/>
      </w:pPr>
    </w:lvl>
    <w:lvl w:ilvl="5" w:tplc="0402001B" w:tentative="1">
      <w:start w:val="1"/>
      <w:numFmt w:val="lowerRoman"/>
      <w:lvlText w:val="%6."/>
      <w:lvlJc w:val="right"/>
      <w:pPr>
        <w:ind w:left="4744" w:hanging="180"/>
      </w:pPr>
    </w:lvl>
    <w:lvl w:ilvl="6" w:tplc="0402000F" w:tentative="1">
      <w:start w:val="1"/>
      <w:numFmt w:val="decimal"/>
      <w:lvlText w:val="%7."/>
      <w:lvlJc w:val="left"/>
      <w:pPr>
        <w:ind w:left="5464" w:hanging="360"/>
      </w:pPr>
    </w:lvl>
    <w:lvl w:ilvl="7" w:tplc="04020019" w:tentative="1">
      <w:start w:val="1"/>
      <w:numFmt w:val="lowerLetter"/>
      <w:lvlText w:val="%8."/>
      <w:lvlJc w:val="left"/>
      <w:pPr>
        <w:ind w:left="6184" w:hanging="360"/>
      </w:pPr>
    </w:lvl>
    <w:lvl w:ilvl="8" w:tplc="040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5C131B56"/>
    <w:multiLevelType w:val="multilevel"/>
    <w:tmpl w:val="D40E9BA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5FB60B27"/>
    <w:multiLevelType w:val="hybridMultilevel"/>
    <w:tmpl w:val="1B18F04A"/>
    <w:lvl w:ilvl="0" w:tplc="F1608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D6F1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75189"/>
    <w:multiLevelType w:val="hybridMultilevel"/>
    <w:tmpl w:val="8346A01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B35D19"/>
    <w:multiLevelType w:val="hybridMultilevel"/>
    <w:tmpl w:val="A030D3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65692C"/>
    <w:multiLevelType w:val="hybridMultilevel"/>
    <w:tmpl w:val="2C2048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8D6F1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440F2"/>
    <w:multiLevelType w:val="hybridMultilevel"/>
    <w:tmpl w:val="B254E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5C889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D0286F"/>
    <w:multiLevelType w:val="hybridMultilevel"/>
    <w:tmpl w:val="F0A6D8D6"/>
    <w:lvl w:ilvl="0" w:tplc="F1608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1"/>
  </w:num>
  <w:num w:numId="10">
    <w:abstractNumId w:val="20"/>
  </w:num>
  <w:num w:numId="11">
    <w:abstractNumId w:val="10"/>
  </w:num>
  <w:num w:numId="12">
    <w:abstractNumId w:val="17"/>
  </w:num>
  <w:num w:numId="13">
    <w:abstractNumId w:val="18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6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F"/>
    <w:rsid w:val="00011923"/>
    <w:rsid w:val="000D2892"/>
    <w:rsid w:val="00112FCB"/>
    <w:rsid w:val="0013320C"/>
    <w:rsid w:val="0013548E"/>
    <w:rsid w:val="00183F48"/>
    <w:rsid w:val="00231DF9"/>
    <w:rsid w:val="002456E5"/>
    <w:rsid w:val="00275FCF"/>
    <w:rsid w:val="002A5741"/>
    <w:rsid w:val="002E7D10"/>
    <w:rsid w:val="002F3116"/>
    <w:rsid w:val="003076C2"/>
    <w:rsid w:val="003224DC"/>
    <w:rsid w:val="0032527B"/>
    <w:rsid w:val="0032570A"/>
    <w:rsid w:val="0033474D"/>
    <w:rsid w:val="00341C0F"/>
    <w:rsid w:val="0034594F"/>
    <w:rsid w:val="00372E7D"/>
    <w:rsid w:val="00387C93"/>
    <w:rsid w:val="00422467"/>
    <w:rsid w:val="00427F44"/>
    <w:rsid w:val="004A0973"/>
    <w:rsid w:val="004A3232"/>
    <w:rsid w:val="004C250E"/>
    <w:rsid w:val="004E79D9"/>
    <w:rsid w:val="00537AC9"/>
    <w:rsid w:val="0058599B"/>
    <w:rsid w:val="00592C63"/>
    <w:rsid w:val="005F0F15"/>
    <w:rsid w:val="00604F18"/>
    <w:rsid w:val="00605ABD"/>
    <w:rsid w:val="00690802"/>
    <w:rsid w:val="006966D6"/>
    <w:rsid w:val="006C17D6"/>
    <w:rsid w:val="006D1F2C"/>
    <w:rsid w:val="0079396D"/>
    <w:rsid w:val="007E4F28"/>
    <w:rsid w:val="008352F0"/>
    <w:rsid w:val="00897578"/>
    <w:rsid w:val="008A3C99"/>
    <w:rsid w:val="008B4122"/>
    <w:rsid w:val="008E27DD"/>
    <w:rsid w:val="00915C01"/>
    <w:rsid w:val="00970C64"/>
    <w:rsid w:val="009F329D"/>
    <w:rsid w:val="00A23658"/>
    <w:rsid w:val="00A42490"/>
    <w:rsid w:val="00A63D16"/>
    <w:rsid w:val="00A77118"/>
    <w:rsid w:val="00AE491D"/>
    <w:rsid w:val="00B042BC"/>
    <w:rsid w:val="00B605D4"/>
    <w:rsid w:val="00CC3840"/>
    <w:rsid w:val="00D55BC7"/>
    <w:rsid w:val="00D863EC"/>
    <w:rsid w:val="00D97437"/>
    <w:rsid w:val="00DE6FE3"/>
    <w:rsid w:val="00E0062E"/>
    <w:rsid w:val="00E70FEF"/>
    <w:rsid w:val="00E71CBE"/>
    <w:rsid w:val="00E83043"/>
    <w:rsid w:val="00E90225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94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34594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34594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4594F"/>
    <w:rPr>
      <w:rFonts w:ascii="Arial" w:eastAsia="Calibri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34594F"/>
    <w:rPr>
      <w:rFonts w:ascii="Arial" w:eastAsia="Calibri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34594F"/>
    <w:rPr>
      <w:rFonts w:ascii="Arial" w:eastAsia="Calibri" w:hAnsi="Arial" w:cs="Arial"/>
      <w:b/>
      <w:bCs/>
      <w:sz w:val="26"/>
      <w:szCs w:val="26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34594F"/>
  </w:style>
  <w:style w:type="paragraph" w:styleId="a3">
    <w:name w:val="header"/>
    <w:basedOn w:val="a"/>
    <w:link w:val="a4"/>
    <w:rsid w:val="0034594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character" w:customStyle="1" w:styleId="a4">
    <w:name w:val="Горен колонтитул Знак"/>
    <w:basedOn w:val="a0"/>
    <w:link w:val="a3"/>
    <w:rsid w:val="0034594F"/>
    <w:rPr>
      <w:rFonts w:ascii="Calibri" w:eastAsia="Calibri" w:hAnsi="Calibri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rsid w:val="0034594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34594F"/>
    <w:rPr>
      <w:rFonts w:ascii="Calibri" w:eastAsia="Calibri" w:hAnsi="Calibri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34594F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rsid w:val="0034594F"/>
    <w:pPr>
      <w:spacing w:after="0" w:line="240" w:lineRule="auto"/>
    </w:pPr>
    <w:rPr>
      <w:rFonts w:ascii="Tahoma" w:eastAsia="Calibri" w:hAnsi="Tahoma" w:cs="Tahoma"/>
      <w:sz w:val="16"/>
      <w:szCs w:val="16"/>
      <w:lang w:eastAsia="bg-BG"/>
    </w:rPr>
  </w:style>
  <w:style w:type="character" w:customStyle="1" w:styleId="a9">
    <w:name w:val="Изнесен текст Знак"/>
    <w:basedOn w:val="a0"/>
    <w:link w:val="a8"/>
    <w:rsid w:val="0034594F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94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34594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34594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4594F"/>
    <w:rPr>
      <w:rFonts w:ascii="Arial" w:eastAsia="Calibri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34594F"/>
    <w:rPr>
      <w:rFonts w:ascii="Arial" w:eastAsia="Calibri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34594F"/>
    <w:rPr>
      <w:rFonts w:ascii="Arial" w:eastAsia="Calibri" w:hAnsi="Arial" w:cs="Arial"/>
      <w:b/>
      <w:bCs/>
      <w:sz w:val="26"/>
      <w:szCs w:val="26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34594F"/>
  </w:style>
  <w:style w:type="paragraph" w:styleId="a3">
    <w:name w:val="header"/>
    <w:basedOn w:val="a"/>
    <w:link w:val="a4"/>
    <w:rsid w:val="0034594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character" w:customStyle="1" w:styleId="a4">
    <w:name w:val="Горен колонтитул Знак"/>
    <w:basedOn w:val="a0"/>
    <w:link w:val="a3"/>
    <w:rsid w:val="0034594F"/>
    <w:rPr>
      <w:rFonts w:ascii="Calibri" w:eastAsia="Calibri" w:hAnsi="Calibri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rsid w:val="0034594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34594F"/>
    <w:rPr>
      <w:rFonts w:ascii="Calibri" w:eastAsia="Calibri" w:hAnsi="Calibri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34594F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rsid w:val="0034594F"/>
    <w:pPr>
      <w:spacing w:after="0" w:line="240" w:lineRule="auto"/>
    </w:pPr>
    <w:rPr>
      <w:rFonts w:ascii="Tahoma" w:eastAsia="Calibri" w:hAnsi="Tahoma" w:cs="Tahoma"/>
      <w:sz w:val="16"/>
      <w:szCs w:val="16"/>
      <w:lang w:eastAsia="bg-BG"/>
    </w:rPr>
  </w:style>
  <w:style w:type="character" w:customStyle="1" w:styleId="a9">
    <w:name w:val="Изнесен текст Знак"/>
    <w:basedOn w:val="a0"/>
    <w:link w:val="a8"/>
    <w:rsid w:val="0034594F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social/main.jsp?catId=1045&amp;langId=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social/main.jsp?catId=1045&amp;langId=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social/main.jsp?catId=993&amp;langId=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youth/youth-in-action-programme/european-voluntary-service_en.htm" TargetMode="External"/><Relationship Id="rId10" Type="http://schemas.openxmlformats.org/officeDocument/2006/relationships/hyperlink" Target="http://ec.europa.eu/social/main.jsp?catId=993&amp;langId=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social/main.jsp?catId=333&amp;langId=bg&amp;consultId=10&amp;visib=0&amp;furtherConsult=yes" TargetMode="External"/><Relationship Id="rId14" Type="http://schemas.openxmlformats.org/officeDocument/2006/relationships/hyperlink" Target="http://www.erasmus-entrepreneurs.eu/index.php?lan=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22D6-18D2-41AB-81CC-4F2BA713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6540</Words>
  <Characters>37281</Characters>
  <Application>Microsoft Office Word</Application>
  <DocSecurity>0</DocSecurity>
  <Lines>310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Staneva</dc:creator>
  <cp:lastModifiedBy>Milena</cp:lastModifiedBy>
  <cp:revision>6</cp:revision>
  <cp:lastPrinted>2017-01-23T08:48:00Z</cp:lastPrinted>
  <dcterms:created xsi:type="dcterms:W3CDTF">2017-01-27T14:12:00Z</dcterms:created>
  <dcterms:modified xsi:type="dcterms:W3CDTF">2017-01-27T14:23:00Z</dcterms:modified>
</cp:coreProperties>
</file>