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FD6A08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17/11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.01.2019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ца на ПУП за ЧИ на ЗРП – план за регулация и план за застрояване  за 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0A7662">
        <w:rPr>
          <w:rFonts w:ascii="Book Antiqua" w:eastAsia="Times New Roman" w:hAnsi="Book Antiqua" w:cs="Times New Roman"/>
          <w:sz w:val="24"/>
          <w:szCs w:val="24"/>
          <w:lang w:eastAsia="bg-BG"/>
        </w:rPr>
        <w:t>УПИ ІІ-2285 и УПИ ІІІ-2284,  кв. 137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 гр. Трявна, 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FD6A0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обединяване на двата урегулирани поземлени имота в един общ имот с отреждане „за производствени нужди – мебелно производство“. </w:t>
      </w:r>
      <w:bookmarkStart w:id="0" w:name="_GoBack"/>
      <w:bookmarkEnd w:id="0"/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0A7662"/>
    <w:rsid w:val="00283F2C"/>
    <w:rsid w:val="006630E5"/>
    <w:rsid w:val="00740C43"/>
    <w:rsid w:val="00B80734"/>
    <w:rsid w:val="00F5551F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6</cp:revision>
  <dcterms:created xsi:type="dcterms:W3CDTF">2018-10-05T07:57:00Z</dcterms:created>
  <dcterms:modified xsi:type="dcterms:W3CDTF">2019-01-11T13:43:00Z</dcterms:modified>
</cp:coreProperties>
</file>