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F4052F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487C1D95" wp14:editId="5C87C49A">
            <wp:simplePos x="0" y="0"/>
            <wp:positionH relativeFrom="column">
              <wp:posOffset>2085975</wp:posOffset>
            </wp:positionH>
            <wp:positionV relativeFrom="paragraph">
              <wp:posOffset>38100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bookmarkStart w:id="0" w:name="_GoBack"/>
      <w:bookmarkEnd w:id="0"/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F4052F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121/05.03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4052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служебен път на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– план за регулация и план за застрояване за </w:t>
      </w:r>
      <w:r w:rsidR="00F4052F">
        <w:rPr>
          <w:rFonts w:ascii="Book Antiqua" w:eastAsia="Times New Roman" w:hAnsi="Book Antiqua" w:cs="Times New Roman"/>
          <w:sz w:val="24"/>
          <w:szCs w:val="24"/>
          <w:lang w:eastAsia="bg-BG"/>
        </w:rPr>
        <w:t>УПИ VІІІ – община, кв. 116 по ЗРП на гр. Трявна, представляващ ПИ с идентификатор 73403.501.2461 и за ПИ 73403.562.190 по КК и КР на гр. Трявна,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F4052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създаване на пътна връзка до ПИ 81058.383.10 /полски път/ по КК и КР на землище Черновръх през УПИ VІІІ – община и ПИ 73403.562.190 и разделяне на ПИ 73403.562.190 на два нови имота с отреждане „за озеленяване и парк“. 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41</cp:revision>
  <cp:lastPrinted>2016-08-10T08:03:00Z</cp:lastPrinted>
  <dcterms:created xsi:type="dcterms:W3CDTF">2015-11-23T09:06:00Z</dcterms:created>
  <dcterms:modified xsi:type="dcterms:W3CDTF">2019-03-05T08:33:00Z</dcterms:modified>
</cp:coreProperties>
</file>