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ПРЕПИС-ИЗВЛЕЧЕНИЕ ОТ РЕШЕНИЯТА НА ОБЩИНСКИ СЪВЕТ – ТРЯВНА, ОБЛ. ГАБРОВО,  ГЛАСУВАНИ  НА ЗАСЕДАНИЕ,  НА 26.02.2019 г., ПРОТОКОЛ № 2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ДВАДЕСЕТ И </w:t>
      </w:r>
      <w:r w:rsidR="00E147EB">
        <w:rPr>
          <w:rFonts w:ascii="Times New Roman" w:hAnsi="Times New Roman"/>
          <w:b/>
          <w:sz w:val="20"/>
          <w:szCs w:val="20"/>
          <w:u w:val="single"/>
        </w:rPr>
        <w:t>ШЕСТА</w:t>
      </w:r>
    </w:p>
    <w:p w:rsidR="00E147EB" w:rsidRPr="00E147EB" w:rsidRDefault="00E147EB" w:rsidP="00E147E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47E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Предложение </w:t>
      </w:r>
      <w:proofErr w:type="spellStart"/>
      <w:r w:rsidRPr="00E147EB">
        <w:rPr>
          <w:rFonts w:ascii="Times New Roman" w:eastAsia="Times New Roman" w:hAnsi="Times New Roman"/>
          <w:b/>
          <w:sz w:val="24"/>
          <w:szCs w:val="24"/>
          <w:lang w:val="ru-RU"/>
        </w:rPr>
        <w:t>относно</w:t>
      </w:r>
      <w:proofErr w:type="spellEnd"/>
      <w:r w:rsidRPr="00E147E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eastAsia="Times New Roman" w:hAnsi="Times New Roman"/>
          <w:b/>
          <w:sz w:val="24"/>
          <w:szCs w:val="24"/>
          <w:lang w:val="ru-RU"/>
        </w:rPr>
        <w:t>отдаване</w:t>
      </w:r>
      <w:proofErr w:type="spellEnd"/>
      <w:r w:rsidRPr="00E147E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под  наем на</w:t>
      </w:r>
      <w:r w:rsidRPr="00E147EB">
        <w:rPr>
          <w:rFonts w:ascii="Times New Roman" w:eastAsia="Times New Roman" w:hAnsi="Times New Roman"/>
          <w:b/>
          <w:sz w:val="24"/>
          <w:szCs w:val="24"/>
          <w:lang w:val="x-none"/>
        </w:rPr>
        <w:t xml:space="preserve"> имоти  частна общинска собственост - лятна градина и  </w:t>
      </w:r>
      <w:r w:rsidRPr="00E147EB">
        <w:rPr>
          <w:rFonts w:ascii="Times New Roman" w:eastAsia="Times New Roman" w:hAnsi="Times New Roman"/>
          <w:b/>
          <w:sz w:val="24"/>
          <w:szCs w:val="24"/>
        </w:rPr>
        <w:t xml:space="preserve">първи етаж от </w:t>
      </w:r>
      <w:r w:rsidRPr="00E147EB">
        <w:rPr>
          <w:rFonts w:ascii="Times New Roman" w:eastAsia="Times New Roman" w:hAnsi="Times New Roman"/>
          <w:b/>
          <w:sz w:val="24"/>
          <w:szCs w:val="24"/>
          <w:lang w:val="x-none"/>
        </w:rPr>
        <w:t>двуетажна сграда „</w:t>
      </w:r>
      <w:proofErr w:type="spellStart"/>
      <w:r w:rsidRPr="00E147EB">
        <w:rPr>
          <w:rFonts w:ascii="Times New Roman" w:eastAsia="Times New Roman" w:hAnsi="Times New Roman"/>
          <w:b/>
          <w:sz w:val="24"/>
          <w:szCs w:val="24"/>
          <w:lang w:val="x-none"/>
        </w:rPr>
        <w:t>Калинчева</w:t>
      </w:r>
      <w:proofErr w:type="spellEnd"/>
      <w:r w:rsidRPr="00E147EB">
        <w:rPr>
          <w:rFonts w:ascii="Times New Roman" w:eastAsia="Times New Roman" w:hAnsi="Times New Roman"/>
          <w:b/>
          <w:sz w:val="24"/>
          <w:szCs w:val="24"/>
          <w:lang w:val="x-none"/>
        </w:rPr>
        <w:t xml:space="preserve"> къща”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147EB" w:rsidRPr="00E147EB" w:rsidRDefault="00E147EB" w:rsidP="00E147E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Вносител: Кметът на общината</w:t>
      </w:r>
    </w:p>
    <w:p w:rsidR="00E147EB" w:rsidRPr="00E147EB" w:rsidRDefault="00E147EB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147EB" w:rsidRPr="006025F0" w:rsidRDefault="00E147EB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E147EB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38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Pr="00E147EB" w:rsidRDefault="00E147EB" w:rsidP="006E15A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</w:rPr>
        <w:t xml:space="preserve">На основание </w:t>
      </w:r>
      <w:r w:rsidRPr="00E147EB">
        <w:rPr>
          <w:rFonts w:ascii="Times New Roman" w:hAnsi="Times New Roman"/>
          <w:noProof/>
          <w:sz w:val="24"/>
          <w:szCs w:val="24"/>
        </w:rPr>
        <w:t>чл. 21,</w:t>
      </w:r>
      <w:r w:rsidRPr="00E147EB">
        <w:rPr>
          <w:rFonts w:ascii="Times New Roman" w:hAnsi="Times New Roman"/>
          <w:sz w:val="24"/>
          <w:szCs w:val="24"/>
        </w:rPr>
        <w:t xml:space="preserve"> ал.1, т.8 от </w:t>
      </w:r>
      <w:r w:rsidRPr="00E147EB">
        <w:rPr>
          <w:rFonts w:ascii="Times New Roman" w:hAnsi="Times New Roman"/>
          <w:noProof/>
          <w:sz w:val="24"/>
          <w:szCs w:val="24"/>
        </w:rPr>
        <w:t xml:space="preserve">ЗМСМА, </w:t>
      </w:r>
      <w:r w:rsidRPr="00E147EB">
        <w:rPr>
          <w:rFonts w:ascii="Times New Roman" w:hAnsi="Times New Roman"/>
          <w:sz w:val="24"/>
          <w:szCs w:val="24"/>
        </w:rPr>
        <w:t xml:space="preserve">чл.14, ал.2 </w:t>
      </w:r>
      <w:r w:rsidRPr="00E147EB">
        <w:rPr>
          <w:rFonts w:ascii="Times New Roman" w:hAnsi="Times New Roman"/>
          <w:noProof/>
          <w:sz w:val="24"/>
          <w:szCs w:val="24"/>
        </w:rPr>
        <w:t xml:space="preserve">от ЗОС, чл.86, ал.1,т.1 от НРПУРОИ, </w:t>
      </w:r>
      <w:r w:rsidRPr="00E147EB">
        <w:rPr>
          <w:rFonts w:ascii="Times New Roman" w:hAnsi="Times New Roman"/>
          <w:sz w:val="24"/>
          <w:szCs w:val="24"/>
        </w:rPr>
        <w:t>Общински съвет –Трявна</w:t>
      </w:r>
      <w:r w:rsidRPr="00E147E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D1E35" w:rsidRPr="006D1E35" w:rsidRDefault="006D1E35" w:rsidP="006E15A9">
      <w:pPr>
        <w:ind w:left="327" w:hanging="327"/>
        <w:jc w:val="center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</w:rPr>
        <w:t>Р Е Ш И:</w:t>
      </w:r>
    </w:p>
    <w:p w:rsidR="00E147EB" w:rsidRPr="00E147EB" w:rsidRDefault="00E147EB" w:rsidP="006E15A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E147EB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E147EB">
        <w:rPr>
          <w:rFonts w:ascii="Times New Roman" w:hAnsi="Times New Roman"/>
          <w:sz w:val="24"/>
          <w:szCs w:val="24"/>
        </w:rPr>
        <w:t xml:space="preserve">  Отменя</w:t>
      </w:r>
      <w:proofErr w:type="gramEnd"/>
      <w:r w:rsidRPr="00E147EB">
        <w:rPr>
          <w:rFonts w:ascii="Times New Roman" w:hAnsi="Times New Roman"/>
          <w:sz w:val="24"/>
          <w:szCs w:val="24"/>
        </w:rPr>
        <w:t xml:space="preserve"> свое Решение </w:t>
      </w:r>
      <w:r w:rsidRPr="00E147EB">
        <w:rPr>
          <w:rFonts w:ascii="Times New Roman" w:eastAsia="Times New Roman" w:hAnsi="Times New Roman"/>
          <w:sz w:val="24"/>
          <w:szCs w:val="24"/>
        </w:rPr>
        <w:t>№ 150/27.09.2018г</w:t>
      </w:r>
      <w:r w:rsidRPr="00E147EB">
        <w:rPr>
          <w:rFonts w:ascii="Times New Roman" w:hAnsi="Times New Roman"/>
          <w:sz w:val="24"/>
          <w:szCs w:val="24"/>
        </w:rPr>
        <w:t xml:space="preserve">. и </w:t>
      </w:r>
      <w:r w:rsidRPr="00E147EB">
        <w:rPr>
          <w:rFonts w:ascii="Times New Roman" w:hAnsi="Times New Roman"/>
        </w:rPr>
        <w:t xml:space="preserve"> Решение № </w:t>
      </w:r>
      <w:r w:rsidRPr="00E147EB">
        <w:rPr>
          <w:rFonts w:ascii="Times New Roman" w:hAnsi="Times New Roman"/>
          <w:lang w:val="en-US"/>
        </w:rPr>
        <w:t>64</w:t>
      </w:r>
      <w:r w:rsidRPr="00E147EB">
        <w:rPr>
          <w:rFonts w:ascii="Times New Roman" w:hAnsi="Times New Roman"/>
        </w:rPr>
        <w:t>/24.04.2018г.</w:t>
      </w:r>
      <w:r w:rsidRPr="00E147EB">
        <w:rPr>
          <w:rFonts w:ascii="Times New Roman" w:hAnsi="Times New Roman"/>
          <w:sz w:val="24"/>
          <w:szCs w:val="24"/>
        </w:rPr>
        <w:t xml:space="preserve">  </w:t>
      </w:r>
    </w:p>
    <w:p w:rsidR="00E147EB" w:rsidRPr="00E147EB" w:rsidRDefault="00E147EB" w:rsidP="00E147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7EB" w:rsidRPr="00E147EB" w:rsidRDefault="00E147EB" w:rsidP="006E1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147EB">
        <w:rPr>
          <w:rFonts w:ascii="Times New Roman" w:eastAsia="Times New Roman" w:hAnsi="Times New Roman"/>
          <w:b/>
          <w:sz w:val="24"/>
          <w:szCs w:val="24"/>
          <w:lang w:val="en-US"/>
        </w:rPr>
        <w:t>II.</w:t>
      </w:r>
      <w:r w:rsidRPr="00E147E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147EB">
        <w:rPr>
          <w:rFonts w:ascii="Times New Roman" w:eastAsia="Times New Roman" w:hAnsi="Times New Roman"/>
          <w:sz w:val="24"/>
          <w:szCs w:val="24"/>
          <w:lang w:val="ru-RU"/>
        </w:rPr>
        <w:t xml:space="preserve">Да се </w:t>
      </w:r>
      <w:proofErr w:type="spellStart"/>
      <w:r w:rsidRPr="00E147EB">
        <w:rPr>
          <w:rFonts w:ascii="Times New Roman" w:eastAsia="Times New Roman" w:hAnsi="Times New Roman"/>
          <w:sz w:val="24"/>
          <w:szCs w:val="24"/>
          <w:lang w:val="ru-RU"/>
        </w:rPr>
        <w:t>проведе</w:t>
      </w:r>
      <w:proofErr w:type="spellEnd"/>
      <w:r w:rsidRPr="00E147EB">
        <w:rPr>
          <w:rFonts w:ascii="Times New Roman" w:eastAsia="Times New Roman" w:hAnsi="Times New Roman"/>
          <w:sz w:val="24"/>
          <w:szCs w:val="24"/>
          <w:lang w:val="ru-RU"/>
        </w:rPr>
        <w:t xml:space="preserve"> процедура за</w:t>
      </w:r>
      <w:r w:rsidRPr="00E147EB">
        <w:rPr>
          <w:rFonts w:ascii="Times New Roman" w:eastAsia="Times New Roman" w:hAnsi="Times New Roman"/>
          <w:sz w:val="24"/>
          <w:szCs w:val="24"/>
          <w:lang w:val="x-none"/>
        </w:rPr>
        <w:t xml:space="preserve"> </w:t>
      </w:r>
      <w:proofErr w:type="spellStart"/>
      <w:r w:rsidRPr="00E147EB">
        <w:rPr>
          <w:rFonts w:ascii="Times New Roman" w:eastAsia="Times New Roman" w:hAnsi="Times New Roman"/>
          <w:sz w:val="24"/>
          <w:szCs w:val="24"/>
          <w:lang w:val="ru-RU"/>
        </w:rPr>
        <w:t>провеждане</w:t>
      </w:r>
      <w:proofErr w:type="spellEnd"/>
      <w:r w:rsidRPr="00E147EB">
        <w:rPr>
          <w:rFonts w:ascii="Times New Roman" w:eastAsia="Times New Roman" w:hAnsi="Times New Roman"/>
          <w:sz w:val="24"/>
          <w:szCs w:val="24"/>
          <w:lang w:val="ru-RU"/>
        </w:rPr>
        <w:t xml:space="preserve"> на публично </w:t>
      </w:r>
      <w:proofErr w:type="spellStart"/>
      <w:r w:rsidRPr="00E147EB">
        <w:rPr>
          <w:rFonts w:ascii="Times New Roman" w:eastAsia="Times New Roman" w:hAnsi="Times New Roman"/>
          <w:sz w:val="24"/>
          <w:szCs w:val="24"/>
          <w:lang w:val="ru-RU"/>
        </w:rPr>
        <w:t>оповестен</w:t>
      </w:r>
      <w:proofErr w:type="spellEnd"/>
      <w:r w:rsidRPr="00E147EB">
        <w:rPr>
          <w:rFonts w:ascii="Times New Roman" w:eastAsia="Times New Roman" w:hAnsi="Times New Roman"/>
          <w:sz w:val="24"/>
          <w:szCs w:val="24"/>
          <w:lang w:val="ru-RU"/>
        </w:rPr>
        <w:t xml:space="preserve"> конкурс за </w:t>
      </w:r>
      <w:r w:rsidRPr="00E147EB">
        <w:rPr>
          <w:rFonts w:ascii="Times New Roman" w:eastAsia="Times New Roman" w:hAnsi="Times New Roman"/>
          <w:sz w:val="24"/>
          <w:szCs w:val="24"/>
          <w:lang w:val="x-none"/>
        </w:rPr>
        <w:t xml:space="preserve">отдаване под наем, </w:t>
      </w:r>
      <w:r w:rsidRPr="00E147EB">
        <w:rPr>
          <w:rFonts w:ascii="Times New Roman" w:eastAsia="Times New Roman" w:hAnsi="Times New Roman"/>
          <w:sz w:val="24"/>
          <w:szCs w:val="24"/>
          <w:lang w:val="ru-RU"/>
        </w:rPr>
        <w:t xml:space="preserve">за срок от 7 </w:t>
      </w:r>
      <w:proofErr w:type="gramStart"/>
      <w:r w:rsidRPr="00E147EB">
        <w:rPr>
          <w:rFonts w:ascii="Times New Roman" w:eastAsia="Times New Roman" w:hAnsi="Times New Roman"/>
          <w:sz w:val="24"/>
          <w:szCs w:val="24"/>
          <w:lang w:val="ru-RU"/>
        </w:rPr>
        <w:t xml:space="preserve">( </w:t>
      </w:r>
      <w:proofErr w:type="spellStart"/>
      <w:r w:rsidRPr="00E147EB">
        <w:rPr>
          <w:rFonts w:ascii="Times New Roman" w:eastAsia="Times New Roman" w:hAnsi="Times New Roman"/>
          <w:sz w:val="24"/>
          <w:szCs w:val="24"/>
          <w:lang w:val="ru-RU"/>
        </w:rPr>
        <w:t>седем</w:t>
      </w:r>
      <w:proofErr w:type="spellEnd"/>
      <w:proofErr w:type="gramEnd"/>
      <w:r w:rsidRPr="00E147EB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Pr="00E147EB">
        <w:rPr>
          <w:rFonts w:ascii="Times New Roman" w:eastAsia="Times New Roman" w:hAnsi="Times New Roman"/>
          <w:sz w:val="24"/>
          <w:szCs w:val="24"/>
          <w:lang w:val="ru-RU"/>
        </w:rPr>
        <w:t>години</w:t>
      </w:r>
      <w:proofErr w:type="spellEnd"/>
      <w:r w:rsidRPr="00E147E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E147EB">
        <w:rPr>
          <w:rFonts w:ascii="Times New Roman" w:eastAsia="Times New Roman" w:hAnsi="Times New Roman"/>
          <w:sz w:val="24"/>
          <w:szCs w:val="24"/>
          <w:lang w:val="x-none"/>
        </w:rPr>
        <w:t xml:space="preserve">на имоти частна общинска собственост в пакет, както следва: </w:t>
      </w:r>
    </w:p>
    <w:p w:rsidR="00E147EB" w:rsidRPr="00E147EB" w:rsidRDefault="00E147EB" w:rsidP="00E147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147EB">
        <w:rPr>
          <w:rFonts w:ascii="Times New Roman" w:eastAsia="Times New Roman" w:hAnsi="Times New Roman"/>
          <w:sz w:val="24"/>
          <w:szCs w:val="24"/>
          <w:lang w:val="x-none"/>
        </w:rPr>
        <w:t xml:space="preserve">1. Част от поземлен имот с идентификатор 73403.501.1673 по кадастралната карта и кадастралните регистри на гр. Трявна, представляващ: Лятна градина с обособени кухня и санитарни помещения с обща полезна площ от 236,26 кв. м., за който е съставен Акт за частна общинска собственост № 14/15.12.2006 г. Отдаването на лятната градина е без затревената площ в двора. </w:t>
      </w:r>
    </w:p>
    <w:p w:rsidR="00E147EB" w:rsidRPr="00E147EB" w:rsidRDefault="00E147EB" w:rsidP="00E147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147EB">
        <w:rPr>
          <w:rFonts w:ascii="Times New Roman" w:eastAsia="Times New Roman" w:hAnsi="Times New Roman"/>
          <w:sz w:val="24"/>
          <w:szCs w:val="24"/>
          <w:lang w:val="x-none"/>
        </w:rPr>
        <w:t>2. Първи етаж от двуетажна сграда с идентификатор 73403.501.1673.1 по кадастралната карта и кадастралните регистри на гр. Трявна- „</w:t>
      </w:r>
      <w:proofErr w:type="spellStart"/>
      <w:r w:rsidRPr="00E147EB">
        <w:rPr>
          <w:rFonts w:ascii="Times New Roman" w:eastAsia="Times New Roman" w:hAnsi="Times New Roman"/>
          <w:sz w:val="24"/>
          <w:szCs w:val="24"/>
          <w:lang w:val="x-none"/>
        </w:rPr>
        <w:t>Калинчева</w:t>
      </w:r>
      <w:proofErr w:type="spellEnd"/>
      <w:r w:rsidRPr="00E147EB">
        <w:rPr>
          <w:rFonts w:ascii="Times New Roman" w:eastAsia="Times New Roman" w:hAnsi="Times New Roman"/>
          <w:sz w:val="24"/>
          <w:szCs w:val="24"/>
          <w:lang w:val="x-none"/>
        </w:rPr>
        <w:t xml:space="preserve"> къща”, с полезна площ от 135 кв. м., </w:t>
      </w:r>
      <w:proofErr w:type="spellStart"/>
      <w:r w:rsidRPr="00E147EB">
        <w:rPr>
          <w:rFonts w:ascii="Times New Roman" w:eastAsia="Times New Roman" w:hAnsi="Times New Roman"/>
          <w:sz w:val="24"/>
          <w:szCs w:val="24"/>
          <w:lang w:val="x-none"/>
        </w:rPr>
        <w:t>находяща</w:t>
      </w:r>
      <w:proofErr w:type="spellEnd"/>
      <w:r w:rsidRPr="00E147EB">
        <w:rPr>
          <w:rFonts w:ascii="Times New Roman" w:eastAsia="Times New Roman" w:hAnsi="Times New Roman"/>
          <w:sz w:val="24"/>
          <w:szCs w:val="24"/>
          <w:lang w:val="x-none"/>
        </w:rPr>
        <w:t xml:space="preserve"> се на адрес: гр. Трявна, ул. ”П. Р. Славейков” № 45, за който е съставен Акт за частна общинска собственост № 14/15.12.2006 г.   </w:t>
      </w:r>
    </w:p>
    <w:p w:rsidR="00E147EB" w:rsidRPr="00E147EB" w:rsidRDefault="00E147EB" w:rsidP="00E14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47EB" w:rsidRPr="00E147EB" w:rsidRDefault="00E147EB" w:rsidP="006E1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47E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E147EB">
        <w:rPr>
          <w:rFonts w:ascii="Times New Roman" w:eastAsia="Times New Roman" w:hAnsi="Times New Roman"/>
          <w:b/>
          <w:color w:val="000000"/>
          <w:sz w:val="24"/>
          <w:szCs w:val="24"/>
          <w:lang w:val="x-none"/>
        </w:rPr>
        <w:t>ІІ.</w:t>
      </w:r>
      <w:proofErr w:type="gramEnd"/>
      <w:r w:rsidRPr="00E147EB">
        <w:rPr>
          <w:rFonts w:ascii="Times New Roman" w:eastAsia="Times New Roman" w:hAnsi="Times New Roman"/>
          <w:bCs/>
          <w:color w:val="000000"/>
          <w:sz w:val="24"/>
          <w:szCs w:val="24"/>
          <w:lang w:val="x-none"/>
        </w:rPr>
        <w:t xml:space="preserve">  </w:t>
      </w:r>
      <w:r w:rsidRPr="00E147EB">
        <w:rPr>
          <w:rFonts w:ascii="Times New Roman" w:eastAsia="Times New Roman" w:hAnsi="Times New Roman"/>
          <w:sz w:val="24"/>
          <w:szCs w:val="24"/>
          <w:lang w:val="x-none"/>
        </w:rPr>
        <w:t>Конкурсът да се проведе при следните задължителни условия</w:t>
      </w:r>
      <w:r w:rsidRPr="00E147EB">
        <w:rPr>
          <w:rFonts w:ascii="Times New Roman" w:eastAsia="Times New Roman" w:hAnsi="Times New Roman"/>
          <w:sz w:val="24"/>
          <w:szCs w:val="24"/>
        </w:rPr>
        <w:t>:</w:t>
      </w:r>
    </w:p>
    <w:p w:rsidR="00E147EB" w:rsidRPr="00E147EB" w:rsidRDefault="00E147EB" w:rsidP="00E147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7EB">
        <w:rPr>
          <w:rFonts w:ascii="ExcelciorCyr" w:eastAsia="Times New Roman" w:hAnsi="ExcelciorCyr"/>
          <w:sz w:val="24"/>
          <w:szCs w:val="24"/>
          <w:lang w:val="x-none"/>
        </w:rPr>
        <w:t xml:space="preserve">1. Имотите да се ползват като заведение за хранене и развлечение - ресторант, (механа) с лятна градина, категоризирани по реда на Закона за туризма и </w:t>
      </w:r>
      <w:bookmarkStart w:id="0" w:name="to_paragraph_id27553646"/>
      <w:bookmarkEnd w:id="0"/>
      <w:r w:rsidRPr="00E147EB">
        <w:rPr>
          <w:rFonts w:ascii="ExcelciorCyr" w:eastAsia="Times New Roman" w:hAnsi="ExcelciorCyr"/>
          <w:sz w:val="24"/>
          <w:szCs w:val="24"/>
          <w:lang w:val="x-none"/>
        </w:rPr>
        <w:t>Наредбата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</w:rPr>
        <w:t xml:space="preserve">2.  Начална конкурсна месечна наемна цена – </w:t>
      </w:r>
      <w:r w:rsidRPr="00E147EB">
        <w:rPr>
          <w:rFonts w:ascii="Times New Roman" w:hAnsi="Times New Roman"/>
          <w:b/>
          <w:sz w:val="24"/>
          <w:szCs w:val="24"/>
        </w:rPr>
        <w:t>1 608.00лв. без ДДС</w:t>
      </w:r>
      <w:r w:rsidRPr="00E147EB">
        <w:rPr>
          <w:rFonts w:ascii="Times New Roman" w:hAnsi="Times New Roman"/>
          <w:sz w:val="24"/>
          <w:szCs w:val="24"/>
        </w:rPr>
        <w:t xml:space="preserve">, от която </w:t>
      </w:r>
      <w:r w:rsidRPr="00E147EB">
        <w:rPr>
          <w:rFonts w:ascii="Times New Roman" w:hAnsi="Times New Roman"/>
          <w:b/>
          <w:sz w:val="24"/>
          <w:szCs w:val="24"/>
        </w:rPr>
        <w:t>998.00 лв.</w:t>
      </w:r>
      <w:r w:rsidRPr="00E147EB">
        <w:rPr>
          <w:rFonts w:ascii="Times New Roman" w:hAnsi="Times New Roman"/>
          <w:sz w:val="24"/>
          <w:szCs w:val="24"/>
        </w:rPr>
        <w:t xml:space="preserve"> </w:t>
      </w:r>
      <w:r w:rsidRPr="00E147EB">
        <w:rPr>
          <w:rFonts w:ascii="Times New Roman" w:hAnsi="Times New Roman"/>
          <w:b/>
          <w:sz w:val="24"/>
          <w:szCs w:val="24"/>
        </w:rPr>
        <w:t>за лятна градина</w:t>
      </w:r>
      <w:r w:rsidRPr="00E147EB">
        <w:rPr>
          <w:rFonts w:ascii="Times New Roman" w:hAnsi="Times New Roman"/>
          <w:sz w:val="24"/>
          <w:szCs w:val="24"/>
        </w:rPr>
        <w:t xml:space="preserve"> и </w:t>
      </w:r>
      <w:r w:rsidRPr="00E147EB">
        <w:rPr>
          <w:rFonts w:ascii="Times New Roman" w:hAnsi="Times New Roman"/>
          <w:b/>
          <w:sz w:val="24"/>
          <w:szCs w:val="24"/>
        </w:rPr>
        <w:t>610.00 лв. за първия етаж.</w:t>
      </w:r>
    </w:p>
    <w:p w:rsidR="00E147EB" w:rsidRPr="00793A38" w:rsidRDefault="00E147EB" w:rsidP="00E147EB">
      <w:pPr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</w:rPr>
        <w:t xml:space="preserve">3. Наемът за лятната градина се заплаща за периода от </w:t>
      </w:r>
      <w:r w:rsidRPr="00793A38">
        <w:rPr>
          <w:rFonts w:ascii="Times New Roman" w:hAnsi="Times New Roman"/>
          <w:b/>
          <w:sz w:val="24"/>
          <w:szCs w:val="24"/>
        </w:rPr>
        <w:t>15.05 до 15.09. вкл., за всяка текуща година.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</w:rPr>
        <w:t xml:space="preserve">4. Наемът за I-ви етаж  се заплаща </w:t>
      </w:r>
      <w:r w:rsidRPr="00E147EB">
        <w:rPr>
          <w:rFonts w:ascii="Times New Roman" w:hAnsi="Times New Roman"/>
          <w:b/>
          <w:sz w:val="24"/>
          <w:szCs w:val="24"/>
        </w:rPr>
        <w:t xml:space="preserve">целогодишно. 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</w:rPr>
        <w:lastRenderedPageBreak/>
        <w:t>5. Върху предложената цена на конкурса се начислява ДДС в размер на 20%.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</w:rPr>
        <w:t xml:space="preserve">6. Съответните наемни цени за лятната градина и I-ви етаж при сключване на договор се определят съобразно предложените от наемателя в ценовото предложение месечни конкурсни цени 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</w:rPr>
        <w:t xml:space="preserve">7. Наемната цена </w:t>
      </w:r>
      <w:r w:rsidRPr="00E147EB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актуализира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едностранно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наемодателя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ежегодно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договора</w:t>
      </w:r>
      <w:r w:rsidRPr="00E14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официалния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инфлационен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индекс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потребителските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цени, определен от  НСИ </w:t>
      </w:r>
      <w:r w:rsidRPr="00E147EB">
        <w:rPr>
          <w:rFonts w:ascii="Times New Roman" w:hAnsi="Times New Roman"/>
          <w:sz w:val="24"/>
          <w:szCs w:val="24"/>
        </w:rPr>
        <w:t>и при промяна на Тарифата за определяне началния /минимален/ размер на месечния наем за 1 кв. м. полезна площ, при предоставяне на общинска собственост под наем, в лева.</w:t>
      </w:r>
    </w:p>
    <w:p w:rsidR="00E147EB" w:rsidRPr="00E147EB" w:rsidRDefault="00E147EB" w:rsidP="00E147E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  <w:lang w:val="ru-RU"/>
        </w:rPr>
        <w:t>8. Н</w:t>
      </w:r>
      <w:proofErr w:type="spellStart"/>
      <w:r w:rsidRPr="00E147EB">
        <w:rPr>
          <w:rFonts w:ascii="Times New Roman" w:hAnsi="Times New Roman"/>
          <w:sz w:val="24"/>
          <w:szCs w:val="24"/>
        </w:rPr>
        <w:t>аемателят</w:t>
      </w:r>
      <w:proofErr w:type="spellEnd"/>
      <w:r w:rsidRPr="00E147EB">
        <w:rPr>
          <w:rFonts w:ascii="Times New Roman" w:hAnsi="Times New Roman"/>
          <w:sz w:val="24"/>
          <w:szCs w:val="24"/>
        </w:rPr>
        <w:t xml:space="preserve"> е длъжен да застрахова </w:t>
      </w:r>
      <w:proofErr w:type="gramStart"/>
      <w:r w:rsidRPr="00E147EB">
        <w:rPr>
          <w:rFonts w:ascii="Times New Roman" w:hAnsi="Times New Roman"/>
          <w:sz w:val="24"/>
          <w:szCs w:val="24"/>
        </w:rPr>
        <w:t>за</w:t>
      </w:r>
      <w:proofErr w:type="gramEnd"/>
      <w:r w:rsidRPr="00E147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7EB">
        <w:rPr>
          <w:rFonts w:ascii="Times New Roman" w:hAnsi="Times New Roman"/>
          <w:sz w:val="24"/>
          <w:szCs w:val="24"/>
        </w:rPr>
        <w:t>своя</w:t>
      </w:r>
      <w:proofErr w:type="gramEnd"/>
      <w:r w:rsidRPr="00E147EB">
        <w:rPr>
          <w:rFonts w:ascii="Times New Roman" w:hAnsi="Times New Roman"/>
          <w:sz w:val="24"/>
          <w:szCs w:val="24"/>
        </w:rPr>
        <w:t xml:space="preserve"> сметка сградите в имота и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вещите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полза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минималното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застрахователно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покритие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47EB">
        <w:rPr>
          <w:rFonts w:ascii="Times New Roman" w:hAnsi="Times New Roman"/>
          <w:sz w:val="24"/>
          <w:szCs w:val="24"/>
        </w:rPr>
        <w:t xml:space="preserve">срещу рисковете "природни бедствия", „пожар“ и "земетресение".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Застрахователната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стойност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минимум 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балансова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стойност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предоставена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Наемодателя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>,</w:t>
      </w:r>
      <w:r w:rsidRPr="00E147EB">
        <w:rPr>
          <w:rFonts w:ascii="Times New Roman" w:hAnsi="Times New Roman"/>
          <w:sz w:val="24"/>
          <w:szCs w:val="24"/>
        </w:rPr>
        <w:t xml:space="preserve"> като Наемателят се задължава да поддържа валидна застраховка за целия период на договора. Наемателят предоставя на Наемодателя копие от застрахователните полици в петдневен  срок от сключването им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</w:rPr>
        <w:t>9. Спечелилият участник освен договор за наем е длъжен да подпише и споразумение за ползване на втория етаж от сградата, съгласно клаузите в приложения проект на споразумение за втория етаж на сградата.</w:t>
      </w:r>
      <w:r w:rsidRPr="00E147E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E147EB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E147EB">
        <w:rPr>
          <w:rFonts w:ascii="Times New Roman" w:hAnsi="Times New Roman"/>
          <w:sz w:val="24"/>
          <w:szCs w:val="24"/>
          <w:lang w:val="ru-RU"/>
        </w:rPr>
        <w:t xml:space="preserve"> отказ за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споразумението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кметът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предлага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следващия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класирал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се участник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договор за наем и приложения проект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споразумение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Преди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договора за наем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Наемателят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длъжен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внесе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гаранция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споразумението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втория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етаж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в размер на  2000 лева. </w:t>
      </w:r>
      <w:proofErr w:type="spellStart"/>
      <w:proofErr w:type="gramStart"/>
      <w:r w:rsidRPr="00E147EB">
        <w:rPr>
          <w:rFonts w:ascii="Times New Roman" w:hAnsi="Times New Roman"/>
          <w:sz w:val="24"/>
          <w:szCs w:val="24"/>
          <w:lang w:val="ru-RU"/>
        </w:rPr>
        <w:t>Наемателят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внася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събраната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47EB">
        <w:rPr>
          <w:rFonts w:ascii="Times New Roman" w:hAnsi="Times New Roman"/>
          <w:sz w:val="24"/>
          <w:szCs w:val="24"/>
        </w:rPr>
        <w:t>за ползването на втория етаж от "</w:t>
      </w:r>
      <w:proofErr w:type="spellStart"/>
      <w:r w:rsidRPr="00E147EB">
        <w:rPr>
          <w:rFonts w:ascii="Times New Roman" w:hAnsi="Times New Roman"/>
          <w:sz w:val="24"/>
          <w:szCs w:val="24"/>
        </w:rPr>
        <w:t>Калинчева</w:t>
      </w:r>
      <w:proofErr w:type="spellEnd"/>
      <w:r w:rsidRPr="00E147EB">
        <w:rPr>
          <w:rFonts w:ascii="Times New Roman" w:hAnsi="Times New Roman"/>
          <w:sz w:val="24"/>
          <w:szCs w:val="24"/>
        </w:rPr>
        <w:t xml:space="preserve"> къща" - групово или индивидуално събраната цена, съгласно Наредбата за определянето и администрирането на местните такси и цени на услуги на територията на Община Трявна до достигане на стойността на внесената гаранция от 2 000 лева, след което събрания приход се внася в общината.</w:t>
      </w:r>
      <w:proofErr w:type="gramEnd"/>
      <w:r w:rsidRPr="00E147EB">
        <w:rPr>
          <w:rFonts w:ascii="Times New Roman" w:hAnsi="Times New Roman"/>
          <w:sz w:val="24"/>
          <w:szCs w:val="24"/>
        </w:rPr>
        <w:t xml:space="preserve"> Изпълнителят се отчита ежемесечно за събраната сума до 5-то число на следващия месец пред Възложителя /на касата на Община Трявна/. В случай, че до края на срока на договора наемателят събере по малка сума от 2000 лв. остатъкът от гаранцията не му се връща.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лятната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градина и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цялата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двуетажна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сграда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данъци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такси,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консумативи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заплати за персонала,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текущ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основен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ремонт,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извършени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съгласието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и др.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147EB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E147EB">
        <w:rPr>
          <w:rFonts w:ascii="Times New Roman" w:hAnsi="Times New Roman"/>
          <w:sz w:val="24"/>
          <w:szCs w:val="24"/>
          <w:lang w:val="ru-RU"/>
        </w:rPr>
        <w:t xml:space="preserve"> сметка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наемателя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147EB" w:rsidRPr="00E147EB" w:rsidRDefault="00E147EB" w:rsidP="00E147E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  <w:lang w:val="ru-RU"/>
        </w:rPr>
        <w:t xml:space="preserve">11. При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едностранно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прекратяване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договора за наем </w:t>
      </w:r>
      <w:proofErr w:type="gramStart"/>
      <w:r w:rsidRPr="00E147EB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147EB">
        <w:rPr>
          <w:rFonts w:ascii="Times New Roman" w:hAnsi="Times New Roman"/>
          <w:sz w:val="24"/>
          <w:szCs w:val="24"/>
          <w:lang w:val="ru-RU"/>
        </w:rPr>
        <w:t>страна</w:t>
      </w:r>
      <w:proofErr w:type="gram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наемателя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дължи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 неустойка в размер на две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месечни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пакетни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/ за 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двата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наемни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вноски.</w:t>
      </w:r>
    </w:p>
    <w:p w:rsidR="00E147EB" w:rsidRPr="00E147EB" w:rsidRDefault="00E147EB" w:rsidP="00E147E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  <w:lang w:val="ru-RU"/>
        </w:rPr>
        <w:t xml:space="preserve">12.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Наемателят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осигури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собствено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кухненско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оборудване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а по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преценка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обзавеждане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функционирането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>.</w:t>
      </w:r>
      <w:r w:rsidR="005B064C" w:rsidRPr="005B064C">
        <w:rPr>
          <w:rFonts w:ascii="Times New Roman" w:eastAsiaTheme="minorHAnsi" w:hAnsi="Times New Roman"/>
          <w:sz w:val="24"/>
          <w:szCs w:val="24"/>
        </w:rPr>
        <w:t xml:space="preserve"> </w:t>
      </w:r>
      <w:r w:rsidR="005B064C">
        <w:rPr>
          <w:rFonts w:ascii="Times New Roman" w:eastAsiaTheme="minorHAnsi" w:hAnsi="Times New Roman"/>
          <w:sz w:val="24"/>
          <w:szCs w:val="24"/>
        </w:rPr>
        <w:t>78/05.03.2019</w:t>
      </w:r>
    </w:p>
    <w:p w:rsidR="00E147EB" w:rsidRPr="00E147EB" w:rsidRDefault="00453A63" w:rsidP="00E147E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13</w:t>
      </w:r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Освен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задължителните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участниците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в публично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оповестения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конкурс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трябва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да  представят и:</w:t>
      </w:r>
    </w:p>
    <w:p w:rsidR="00E147EB" w:rsidRPr="00E147EB" w:rsidRDefault="00E147EB" w:rsidP="00E1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453A63">
        <w:rPr>
          <w:rFonts w:ascii="Times New Roman" w:hAnsi="Times New Roman"/>
          <w:sz w:val="24"/>
          <w:szCs w:val="24"/>
          <w:lang w:val="ru-RU"/>
        </w:rPr>
        <w:t>3</w:t>
      </w:r>
      <w:r w:rsidRPr="00E147EB">
        <w:rPr>
          <w:rFonts w:ascii="Times New Roman" w:hAnsi="Times New Roman"/>
          <w:sz w:val="24"/>
          <w:szCs w:val="24"/>
          <w:lang w:val="ru-RU"/>
        </w:rPr>
        <w:t xml:space="preserve">.1 </w:t>
      </w:r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Концепция за </w:t>
      </w:r>
      <w:r w:rsidRPr="00E147EB">
        <w:rPr>
          <w:rFonts w:ascii="Times New Roman" w:hAnsi="Times New Roman"/>
          <w:sz w:val="24"/>
          <w:szCs w:val="24"/>
        </w:rPr>
        <w:t xml:space="preserve"> управление на наетият обект, включваща:</w:t>
      </w:r>
    </w:p>
    <w:p w:rsidR="00E147EB" w:rsidRPr="00E147EB" w:rsidRDefault="00E147EB" w:rsidP="00E147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</w:rPr>
        <w:tab/>
      </w:r>
      <w:r w:rsidRPr="00E147EB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Визия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развиване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отдаваните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под наем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обекти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следващите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седем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представляващи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срока на договора за наем; </w:t>
      </w:r>
    </w:p>
    <w:p w:rsidR="00E147EB" w:rsidRPr="00E147EB" w:rsidRDefault="00E147EB" w:rsidP="00E147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</w:rPr>
        <w:tab/>
      </w:r>
      <w:r w:rsidRPr="00E147EB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Атрактивно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представяне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отдаваните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под наем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обекти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пред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жителите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туристите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и гостите на град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>;</w:t>
      </w:r>
      <w:r w:rsidRPr="00E147EB">
        <w:rPr>
          <w:rFonts w:ascii="Times New Roman" w:hAnsi="Times New Roman"/>
          <w:sz w:val="24"/>
          <w:szCs w:val="24"/>
          <w:lang w:val="ru-RU"/>
        </w:rPr>
        <w:tab/>
      </w:r>
    </w:p>
    <w:p w:rsidR="00E147EB" w:rsidRPr="00E147EB" w:rsidRDefault="00E147EB" w:rsidP="00E147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Осъществяване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съвместна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147E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E147EB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подпомагането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й да се наложи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желана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туристическа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дестинация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147EB" w:rsidRPr="00E147EB" w:rsidRDefault="00E147EB" w:rsidP="00E147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  <w:lang w:val="ru-RU"/>
        </w:rPr>
        <w:tab/>
        <w:t>-</w:t>
      </w:r>
      <w:r w:rsidRPr="00E147EB">
        <w:rPr>
          <w:rFonts w:ascii="Times New Roman" w:hAnsi="Times New Roman"/>
          <w:sz w:val="24"/>
          <w:szCs w:val="24"/>
        </w:rPr>
        <w:t xml:space="preserve"> Провеждане на инициативи,</w:t>
      </w:r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>самостоятелно</w:t>
      </w:r>
      <w:proofErr w:type="spellEnd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чрез </w:t>
      </w:r>
      <w:proofErr w:type="spellStart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>привличане</w:t>
      </w:r>
      <w:proofErr w:type="spellEnd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трети лица, в </w:t>
      </w:r>
      <w:proofErr w:type="spellStart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>областта</w:t>
      </w:r>
      <w:proofErr w:type="spellEnd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>културата</w:t>
      </w:r>
      <w:proofErr w:type="spellEnd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>изкуството</w:t>
      </w:r>
      <w:proofErr w:type="spellEnd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147EB">
        <w:rPr>
          <w:rFonts w:ascii="Times New Roman" w:hAnsi="Times New Roman"/>
          <w:color w:val="000000"/>
          <w:sz w:val="24"/>
          <w:szCs w:val="24"/>
          <w:lang w:val="ru-RU"/>
        </w:rPr>
        <w:t>кулинарията</w:t>
      </w:r>
      <w:proofErr w:type="spellEnd"/>
    </w:p>
    <w:p w:rsidR="00E147EB" w:rsidRPr="00E147EB" w:rsidRDefault="00E147EB" w:rsidP="00E147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47EB">
        <w:rPr>
          <w:rFonts w:ascii="Times New Roman" w:hAnsi="Times New Roman"/>
          <w:sz w:val="24"/>
          <w:szCs w:val="24"/>
        </w:rPr>
        <w:t xml:space="preserve">             </w:t>
      </w:r>
      <w:r w:rsidRPr="00E147EB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друго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/по </w:t>
      </w:r>
      <w:proofErr w:type="spellStart"/>
      <w:r w:rsidRPr="00E147EB">
        <w:rPr>
          <w:rFonts w:ascii="Times New Roman" w:hAnsi="Times New Roman"/>
          <w:sz w:val="24"/>
          <w:szCs w:val="24"/>
          <w:lang w:val="ru-RU"/>
        </w:rPr>
        <w:t>преценка</w:t>
      </w:r>
      <w:proofErr w:type="spellEnd"/>
      <w:r w:rsidRPr="00E147EB">
        <w:rPr>
          <w:rFonts w:ascii="Times New Roman" w:hAnsi="Times New Roman"/>
          <w:sz w:val="24"/>
          <w:szCs w:val="24"/>
          <w:lang w:val="ru-RU"/>
        </w:rPr>
        <w:t xml:space="preserve"> на участника/.</w:t>
      </w:r>
    </w:p>
    <w:p w:rsidR="00E147EB" w:rsidRPr="00E147EB" w:rsidRDefault="00E147EB" w:rsidP="00E147E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7EB" w:rsidRPr="00E147EB" w:rsidRDefault="00E147EB" w:rsidP="008C48A2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sz w:val="24"/>
          <w:szCs w:val="24"/>
        </w:rPr>
        <w:t>1</w:t>
      </w:r>
      <w:r w:rsidR="00453A63">
        <w:rPr>
          <w:rFonts w:ascii="Times New Roman" w:hAnsi="Times New Roman"/>
          <w:sz w:val="24"/>
          <w:szCs w:val="24"/>
        </w:rPr>
        <w:t>3</w:t>
      </w:r>
      <w:r w:rsidR="00987C45">
        <w:rPr>
          <w:rFonts w:ascii="Times New Roman" w:hAnsi="Times New Roman"/>
          <w:sz w:val="24"/>
          <w:szCs w:val="24"/>
        </w:rPr>
        <w:t>.2 Ценово предложение</w:t>
      </w:r>
      <w:r w:rsidRPr="00E147EB">
        <w:rPr>
          <w:rFonts w:ascii="Times New Roman" w:hAnsi="Times New Roman"/>
          <w:sz w:val="24"/>
          <w:szCs w:val="24"/>
        </w:rPr>
        <w:t>, поставено  в отделен запечатан плик.</w:t>
      </w:r>
      <w:r w:rsidR="008C48A2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p w:rsidR="00E147EB" w:rsidRPr="00E147EB" w:rsidRDefault="00E147EB" w:rsidP="00E147E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147EB" w:rsidRPr="00E147EB" w:rsidRDefault="00E147EB" w:rsidP="00E147EB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E15A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proofErr w:type="gramStart"/>
      <w:r w:rsidRPr="00E147E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E147EB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E147EB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E147EB">
        <w:rPr>
          <w:rFonts w:ascii="Times New Roman" w:hAnsi="Times New Roman"/>
          <w:sz w:val="24"/>
          <w:szCs w:val="24"/>
          <w:lang w:eastAsia="bg-BG"/>
        </w:rPr>
        <w:t xml:space="preserve"> Определя следните критерии за оценка на предложенията: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Участникът</w:t>
      </w:r>
      <w:proofErr w:type="spellEnd"/>
      <w:r w:rsidRPr="00E147EB">
        <w:rPr>
          <w:rFonts w:ascii="Times New Roman" w:hAnsi="Times New Roman"/>
          <w:sz w:val="24"/>
          <w:szCs w:val="24"/>
          <w:lang w:eastAsia="bg-BG"/>
        </w:rPr>
        <w:t xml:space="preserve"> в публично оповестения конкурс</w:t>
      </w:r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чиято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93A38">
        <w:rPr>
          <w:rFonts w:ascii="Times New Roman" w:hAnsi="Times New Roman"/>
          <w:sz w:val="24"/>
          <w:szCs w:val="24"/>
          <w:lang w:val="ru-RU" w:eastAsia="bg-BG"/>
        </w:rPr>
        <w:t xml:space="preserve">оферта е получила </w:t>
      </w:r>
      <w:proofErr w:type="spellStart"/>
      <w:r w:rsidRPr="00793A38">
        <w:rPr>
          <w:rFonts w:ascii="Times New Roman" w:hAnsi="Times New Roman"/>
          <w:sz w:val="24"/>
          <w:szCs w:val="24"/>
          <w:lang w:val="ru-RU" w:eastAsia="bg-BG"/>
        </w:rPr>
        <w:t>най-висока</w:t>
      </w:r>
      <w:proofErr w:type="spellEnd"/>
      <w:r w:rsidRPr="00793A38">
        <w:rPr>
          <w:rFonts w:ascii="Times New Roman" w:hAnsi="Times New Roman"/>
          <w:sz w:val="24"/>
          <w:szCs w:val="24"/>
          <w:lang w:val="ru-RU" w:eastAsia="bg-BG"/>
        </w:rPr>
        <w:t xml:space="preserve"> комплексна оценка, се </w:t>
      </w:r>
      <w:proofErr w:type="spellStart"/>
      <w:r w:rsidRPr="00793A38">
        <w:rPr>
          <w:rFonts w:ascii="Times New Roman" w:hAnsi="Times New Roman"/>
          <w:sz w:val="24"/>
          <w:szCs w:val="24"/>
          <w:lang w:val="ru-RU" w:eastAsia="bg-BG"/>
        </w:rPr>
        <w:t>класира</w:t>
      </w:r>
      <w:proofErr w:type="spellEnd"/>
      <w:r w:rsidRPr="00793A38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93A38">
        <w:rPr>
          <w:rFonts w:ascii="Times New Roman" w:hAnsi="Times New Roman"/>
          <w:sz w:val="24"/>
          <w:szCs w:val="24"/>
          <w:lang w:val="ru-RU" w:eastAsia="bg-BG"/>
        </w:rPr>
        <w:t>първо</w:t>
      </w:r>
      <w:proofErr w:type="spellEnd"/>
      <w:r w:rsidRPr="00793A3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93A38">
        <w:rPr>
          <w:rFonts w:ascii="Times New Roman" w:hAnsi="Times New Roman"/>
          <w:sz w:val="24"/>
          <w:szCs w:val="24"/>
          <w:lang w:val="ru-RU" w:eastAsia="bg-BG"/>
        </w:rPr>
        <w:t>място</w:t>
      </w:r>
      <w:proofErr w:type="spellEnd"/>
      <w:r w:rsidRPr="00793A38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а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останалите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следват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низходящ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E147EB">
        <w:rPr>
          <w:rFonts w:ascii="Times New Roman" w:hAnsi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съгласно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съответната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им комплексна оценка.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Максималният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точки,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може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бъде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присъден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E147EB">
        <w:rPr>
          <w:rFonts w:ascii="Times New Roman" w:hAnsi="Times New Roman"/>
          <w:sz w:val="24"/>
          <w:szCs w:val="24"/>
          <w:lang w:val="ru-RU" w:eastAsia="bg-BG"/>
        </w:rPr>
        <w:t>на</w:t>
      </w:r>
      <w:proofErr w:type="gram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E147EB">
        <w:rPr>
          <w:rFonts w:ascii="Times New Roman" w:hAnsi="Times New Roman"/>
          <w:sz w:val="24"/>
          <w:szCs w:val="24"/>
          <w:lang w:val="ru-RU" w:eastAsia="bg-BG"/>
        </w:rPr>
        <w:t>участник</w:t>
      </w:r>
      <w:proofErr w:type="gram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при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определяне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комплексната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му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оценка е 100 точки.</w:t>
      </w:r>
      <w:r w:rsidRPr="00E147E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При </w:t>
      </w:r>
      <w:proofErr w:type="gramStart"/>
      <w:r w:rsidRPr="00E147EB">
        <w:rPr>
          <w:rFonts w:ascii="Times New Roman" w:hAnsi="Times New Roman"/>
          <w:sz w:val="24"/>
          <w:szCs w:val="24"/>
          <w:lang w:val="ru-RU" w:eastAsia="bg-BG"/>
        </w:rPr>
        <w:t>равен</w:t>
      </w:r>
      <w:proofErr w:type="gram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точки</w:t>
      </w:r>
      <w:r w:rsidRPr="00E147EB">
        <w:rPr>
          <w:rFonts w:ascii="Times New Roman" w:hAnsi="Times New Roman"/>
          <w:sz w:val="24"/>
          <w:szCs w:val="24"/>
          <w:lang w:eastAsia="bg-BG"/>
        </w:rPr>
        <w:t xml:space="preserve"> на комплексната оценка на двама или повече участници,</w:t>
      </w:r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r w:rsidRPr="00E147EB">
        <w:rPr>
          <w:rFonts w:ascii="Times New Roman" w:hAnsi="Times New Roman"/>
          <w:sz w:val="24"/>
          <w:szCs w:val="24"/>
          <w:lang w:eastAsia="bg-BG"/>
        </w:rPr>
        <w:t>I</w:t>
      </w:r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-во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място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класира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участникът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получил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по-висок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брой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точки на </w:t>
      </w:r>
      <w:r w:rsidRPr="00E147EB">
        <w:rPr>
          <w:rFonts w:ascii="Times New Roman" w:hAnsi="Times New Roman"/>
          <w:sz w:val="24"/>
          <w:szCs w:val="24"/>
          <w:lang w:eastAsia="bg-BG"/>
        </w:rPr>
        <w:t xml:space="preserve">критерия </w:t>
      </w:r>
      <w:r w:rsidRPr="00E147EB">
        <w:rPr>
          <w:rFonts w:ascii="Times New Roman" w:hAnsi="Times New Roman"/>
          <w:sz w:val="24"/>
          <w:szCs w:val="24"/>
        </w:rPr>
        <w:t xml:space="preserve">„Писмена концепция“. Класираният на първо място участник се обявява за спечелил публично оповестения конкурс, като с него се сключва договор за наем. </w:t>
      </w:r>
      <w:r w:rsidRPr="00E147EB">
        <w:rPr>
          <w:rFonts w:ascii="Times New Roman" w:hAnsi="Times New Roman"/>
          <w:i/>
          <w:sz w:val="24"/>
          <w:szCs w:val="24"/>
        </w:rPr>
        <w:t xml:space="preserve"> </w:t>
      </w:r>
    </w:p>
    <w:p w:rsidR="00E147EB" w:rsidRPr="00E147EB" w:rsidRDefault="00E147EB" w:rsidP="00E147E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sz w:val="24"/>
          <w:szCs w:val="24"/>
          <w:lang w:eastAsia="bg-BG"/>
        </w:rPr>
        <w:t>Критерии</w:t>
      </w:r>
      <w:r w:rsidRPr="00E147EB">
        <w:rPr>
          <w:rFonts w:ascii="Times New Roman" w:hAnsi="Times New Roman"/>
          <w:sz w:val="24"/>
          <w:szCs w:val="24"/>
          <w:lang w:val="x-none" w:eastAsia="bg-BG"/>
        </w:rPr>
        <w:t xml:space="preserve"> за определяне на комплексната оценка (КО): </w:t>
      </w:r>
      <w:r w:rsidRPr="00E147E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147EB" w:rsidRPr="00E147EB" w:rsidRDefault="00E147EB" w:rsidP="00E14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КО –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комплексната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оценка на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офертата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, се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изчислява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E147EB">
        <w:rPr>
          <w:rFonts w:ascii="Times New Roman" w:hAnsi="Times New Roman"/>
          <w:sz w:val="24"/>
          <w:szCs w:val="24"/>
          <w:lang w:val="ru-RU" w:eastAsia="bg-BG"/>
        </w:rPr>
        <w:t>следната</w:t>
      </w:r>
      <w:proofErr w:type="spellEnd"/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 формула:</w:t>
      </w:r>
    </w:p>
    <w:p w:rsidR="00E147EB" w:rsidRPr="00E147EB" w:rsidRDefault="00E147EB" w:rsidP="00E14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sz w:val="24"/>
          <w:szCs w:val="24"/>
          <w:lang w:val="ru-RU" w:eastAsia="bg-BG"/>
        </w:rPr>
        <w:t xml:space="preserve">КО = </w:t>
      </w:r>
      <w:r w:rsidRPr="00E147EB">
        <w:rPr>
          <w:rFonts w:ascii="Times New Roman" w:hAnsi="Times New Roman"/>
          <w:sz w:val="24"/>
          <w:szCs w:val="24"/>
          <w:lang w:eastAsia="bg-BG"/>
        </w:rPr>
        <w:t>ПМНЦ</w:t>
      </w:r>
      <w:r w:rsidRPr="00E147EB">
        <w:rPr>
          <w:rFonts w:ascii="Times New Roman" w:hAnsi="Times New Roman"/>
          <w:sz w:val="24"/>
          <w:szCs w:val="24"/>
          <w:lang w:val="ru-RU" w:eastAsia="bg-BG"/>
        </w:rPr>
        <w:t>+</w:t>
      </w:r>
      <w:r w:rsidRPr="00E147EB">
        <w:rPr>
          <w:rFonts w:ascii="Times New Roman" w:hAnsi="Times New Roman"/>
          <w:sz w:val="24"/>
          <w:szCs w:val="24"/>
          <w:lang w:eastAsia="bg-BG"/>
        </w:rPr>
        <w:t>ПК, където:</w:t>
      </w:r>
    </w:p>
    <w:p w:rsidR="00E147EB" w:rsidRPr="00E147EB" w:rsidRDefault="00E147EB" w:rsidP="00E14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sz w:val="24"/>
          <w:szCs w:val="24"/>
          <w:lang w:eastAsia="bg-BG"/>
        </w:rPr>
        <w:t>ПМНЦ- предлагана месечна наемна цена;</w:t>
      </w:r>
    </w:p>
    <w:p w:rsidR="00E147EB" w:rsidRPr="00E147EB" w:rsidRDefault="00E147EB" w:rsidP="00E14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sz w:val="24"/>
          <w:szCs w:val="24"/>
          <w:lang w:eastAsia="bg-BG"/>
        </w:rPr>
        <w:t>ПК- писмена концепция;</w:t>
      </w:r>
    </w:p>
    <w:p w:rsidR="00E147EB" w:rsidRPr="00E147EB" w:rsidRDefault="00E147EB" w:rsidP="00E147EB">
      <w:pPr>
        <w:numPr>
          <w:ilvl w:val="0"/>
          <w:numId w:val="30"/>
        </w:numPr>
        <w:shd w:val="clear" w:color="auto" w:fill="FFFFFF"/>
        <w:spacing w:after="150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 xml:space="preserve"> Критерий</w:t>
      </w:r>
      <w:r w:rsidRPr="00E147EB">
        <w:rPr>
          <w:rFonts w:ascii="Times New Roman" w:hAnsi="Times New Roman"/>
          <w:bCs/>
          <w:color w:val="333B4A"/>
          <w:sz w:val="24"/>
          <w:szCs w:val="24"/>
        </w:rPr>
        <w:t xml:space="preserve">  Цена (месечна наемна цена, в лева, без ДДС)</w:t>
      </w:r>
      <w:r w:rsidRPr="00E147EB">
        <w:rPr>
          <w:rFonts w:ascii="Times New Roman" w:hAnsi="Times New Roman"/>
          <w:i/>
          <w:sz w:val="24"/>
          <w:szCs w:val="24"/>
        </w:rPr>
        <w:t xml:space="preserve"> (ПМНЦ) 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>Критерии „Предлагана месечна наемна цена без ДДС “ и максимален брой точки - 40 точки, се изчислява по следната формула: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ab/>
      </w:r>
      <w:r w:rsidRPr="00E147EB">
        <w:rPr>
          <w:rFonts w:ascii="Times New Roman" w:hAnsi="Times New Roman"/>
          <w:i/>
          <w:sz w:val="24"/>
          <w:szCs w:val="24"/>
        </w:rPr>
        <w:tab/>
        <w:t>ПНЦ =ЦЛГ+ЦПЕ, където:</w:t>
      </w:r>
    </w:p>
    <w:p w:rsidR="00E147EB" w:rsidRPr="00E147EB" w:rsidRDefault="00E147EB" w:rsidP="00E14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sz w:val="24"/>
          <w:szCs w:val="24"/>
          <w:lang w:eastAsia="bg-BG"/>
        </w:rPr>
        <w:tab/>
        <w:t>ЦЛГ- цена за лятна градина;</w:t>
      </w:r>
    </w:p>
    <w:p w:rsidR="00E147EB" w:rsidRPr="00E147EB" w:rsidRDefault="00E147EB" w:rsidP="00E14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sz w:val="24"/>
          <w:szCs w:val="24"/>
          <w:lang w:eastAsia="bg-BG"/>
        </w:rPr>
        <w:tab/>
        <w:t>ЦПЕ- цена за първи етаж;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47EB">
        <w:rPr>
          <w:rFonts w:ascii="Times New Roman" w:hAnsi="Times New Roman"/>
          <w:i/>
          <w:sz w:val="24"/>
          <w:szCs w:val="24"/>
        </w:rPr>
        <w:t>Подкритерий</w:t>
      </w:r>
      <w:proofErr w:type="spellEnd"/>
      <w:r w:rsidRPr="00E147EB">
        <w:rPr>
          <w:rFonts w:ascii="Times New Roman" w:hAnsi="Times New Roman"/>
          <w:i/>
          <w:sz w:val="24"/>
          <w:szCs w:val="24"/>
        </w:rPr>
        <w:t xml:space="preserve"> „Цена за лятна градина“ (ЦЛГ) с максимален брой точки - 30 точки, се изчислява по следната формула: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 xml:space="preserve">                     ЦЛГ участник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lastRenderedPageBreak/>
        <w:t>(ЦЛГ) =  -------------------------- х 30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 xml:space="preserve">                    ЦЛГ максимум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47EB">
        <w:rPr>
          <w:rFonts w:ascii="Times New Roman" w:hAnsi="Times New Roman"/>
          <w:i/>
          <w:sz w:val="24"/>
          <w:szCs w:val="24"/>
        </w:rPr>
        <w:t>Подкритерий</w:t>
      </w:r>
      <w:proofErr w:type="spellEnd"/>
      <w:r w:rsidRPr="00E147EB">
        <w:rPr>
          <w:rFonts w:ascii="Times New Roman" w:hAnsi="Times New Roman"/>
          <w:i/>
          <w:sz w:val="24"/>
          <w:szCs w:val="24"/>
        </w:rPr>
        <w:t xml:space="preserve"> „Цена за първи етаж“ (ЦПЕ) с максимален брой точки - 10 точки, се изчислява по следната формула: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 xml:space="preserve">                     ЦПЕ участник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>(ЦПЕ) =  -------------------------- х 10</w:t>
      </w:r>
    </w:p>
    <w:p w:rsidR="00E147EB" w:rsidRPr="00E147EB" w:rsidRDefault="00E147EB" w:rsidP="00E147EB">
      <w:pPr>
        <w:tabs>
          <w:tab w:val="left" w:pos="-142"/>
          <w:tab w:val="left" w:pos="142"/>
          <w:tab w:val="left" w:pos="360"/>
        </w:tabs>
        <w:ind w:left="360"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 xml:space="preserve">                    ЦПЕ максимум</w:t>
      </w:r>
    </w:p>
    <w:p w:rsidR="00E147EB" w:rsidRPr="00E147EB" w:rsidRDefault="00E147EB" w:rsidP="00E147EB">
      <w:pPr>
        <w:shd w:val="clear" w:color="auto" w:fill="FFFFFF"/>
        <w:spacing w:after="150"/>
        <w:rPr>
          <w:rFonts w:ascii="Times New Roman" w:hAnsi="Times New Roman"/>
          <w:color w:val="333B4A"/>
          <w:sz w:val="24"/>
          <w:szCs w:val="24"/>
        </w:rPr>
      </w:pPr>
    </w:p>
    <w:p w:rsidR="00E147EB" w:rsidRPr="00E147EB" w:rsidRDefault="00E147EB" w:rsidP="00E147EB">
      <w:pPr>
        <w:shd w:val="clear" w:color="auto" w:fill="FFFFFF"/>
        <w:spacing w:after="150"/>
        <w:rPr>
          <w:rFonts w:ascii="Times New Roman" w:hAnsi="Times New Roman"/>
          <w:bCs/>
          <w:color w:val="333B4A"/>
          <w:sz w:val="24"/>
          <w:szCs w:val="24"/>
        </w:rPr>
      </w:pPr>
      <w:r w:rsidRPr="00E147EB">
        <w:rPr>
          <w:rFonts w:ascii="Times New Roman" w:hAnsi="Times New Roman"/>
          <w:sz w:val="24"/>
          <w:szCs w:val="24"/>
        </w:rPr>
        <w:t xml:space="preserve">Стойността на показателите се оценява с точност до цяло число. </w:t>
      </w:r>
    </w:p>
    <w:p w:rsidR="00E147EB" w:rsidRPr="00E147EB" w:rsidRDefault="00E147EB" w:rsidP="00E147EB">
      <w:pPr>
        <w:numPr>
          <w:ilvl w:val="0"/>
          <w:numId w:val="30"/>
        </w:numPr>
        <w:tabs>
          <w:tab w:val="left" w:pos="-142"/>
          <w:tab w:val="left" w:pos="0"/>
        </w:tabs>
        <w:ind w:right="-241"/>
        <w:jc w:val="both"/>
        <w:rPr>
          <w:rFonts w:ascii="Times New Roman" w:hAnsi="Times New Roman"/>
          <w:i/>
          <w:sz w:val="24"/>
          <w:szCs w:val="24"/>
        </w:rPr>
      </w:pPr>
      <w:r w:rsidRPr="00E147EB">
        <w:rPr>
          <w:rFonts w:ascii="Times New Roman" w:hAnsi="Times New Roman"/>
          <w:i/>
          <w:sz w:val="24"/>
          <w:szCs w:val="24"/>
        </w:rPr>
        <w:t>Критерий „Писмена концепция“ (ПК) с</w:t>
      </w:r>
      <w:r w:rsidRPr="00E147EB">
        <w:rPr>
          <w:rFonts w:ascii="Times New Roman" w:hAnsi="Times New Roman"/>
          <w:i/>
          <w:sz w:val="24"/>
          <w:szCs w:val="24"/>
          <w:lang w:val="ru-RU"/>
        </w:rPr>
        <w:t xml:space="preserve"> максимален </w:t>
      </w:r>
      <w:proofErr w:type="spellStart"/>
      <w:r w:rsidRPr="00E147EB">
        <w:rPr>
          <w:rFonts w:ascii="Times New Roman" w:hAnsi="Times New Roman"/>
          <w:i/>
          <w:sz w:val="24"/>
          <w:szCs w:val="24"/>
          <w:lang w:val="ru-RU"/>
        </w:rPr>
        <w:t>брой</w:t>
      </w:r>
      <w:proofErr w:type="spellEnd"/>
      <w:r w:rsidRPr="00E147EB">
        <w:rPr>
          <w:rFonts w:ascii="Times New Roman" w:hAnsi="Times New Roman"/>
          <w:i/>
          <w:sz w:val="24"/>
          <w:szCs w:val="24"/>
          <w:lang w:val="ru-RU"/>
        </w:rPr>
        <w:t xml:space="preserve"> точки - </w:t>
      </w:r>
      <w:r w:rsidRPr="00E147EB">
        <w:rPr>
          <w:rFonts w:ascii="Times New Roman" w:hAnsi="Times New Roman"/>
          <w:i/>
          <w:sz w:val="24"/>
          <w:szCs w:val="24"/>
        </w:rPr>
        <w:t>60</w:t>
      </w:r>
      <w:r w:rsidRPr="00E147EB">
        <w:rPr>
          <w:rFonts w:ascii="Times New Roman" w:hAnsi="Times New Roman"/>
          <w:i/>
          <w:sz w:val="24"/>
          <w:szCs w:val="24"/>
          <w:lang w:val="ru-RU"/>
        </w:rPr>
        <w:t xml:space="preserve"> точки, се </w:t>
      </w:r>
      <w:proofErr w:type="spellStart"/>
      <w:r w:rsidRPr="00E147EB">
        <w:rPr>
          <w:rFonts w:ascii="Times New Roman" w:hAnsi="Times New Roman"/>
          <w:i/>
          <w:sz w:val="24"/>
          <w:szCs w:val="24"/>
          <w:lang w:val="ru-RU"/>
        </w:rPr>
        <w:t>изчислява</w:t>
      </w:r>
      <w:proofErr w:type="spellEnd"/>
      <w:r w:rsidRPr="00E147EB">
        <w:rPr>
          <w:rFonts w:ascii="Times New Roman" w:hAnsi="Times New Roman"/>
          <w:i/>
          <w:sz w:val="24"/>
          <w:szCs w:val="24"/>
          <w:lang w:val="ru-RU"/>
        </w:rPr>
        <w:t xml:space="preserve"> по </w:t>
      </w:r>
      <w:proofErr w:type="spellStart"/>
      <w:r w:rsidRPr="00E147EB">
        <w:rPr>
          <w:rFonts w:ascii="Times New Roman" w:hAnsi="Times New Roman"/>
          <w:i/>
          <w:sz w:val="24"/>
          <w:szCs w:val="24"/>
          <w:lang w:val="ru-RU"/>
        </w:rPr>
        <w:t>следн</w:t>
      </w:r>
      <w:r w:rsidRPr="00E147EB">
        <w:rPr>
          <w:rFonts w:ascii="Times New Roman" w:hAnsi="Times New Roman"/>
          <w:i/>
          <w:sz w:val="24"/>
          <w:szCs w:val="24"/>
        </w:rPr>
        <w:t>ия</w:t>
      </w:r>
      <w:proofErr w:type="spellEnd"/>
      <w:r w:rsidRPr="00E147EB">
        <w:rPr>
          <w:rFonts w:ascii="Times New Roman" w:hAnsi="Times New Roman"/>
          <w:i/>
          <w:sz w:val="24"/>
          <w:szCs w:val="24"/>
        </w:rPr>
        <w:t xml:space="preserve"> начин: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2"/>
        <w:gridCol w:w="862"/>
      </w:tblGrid>
      <w:tr w:rsidR="00E147EB" w:rsidRPr="00E147EB" w:rsidTr="006E15A9">
        <w:trPr>
          <w:trHeight w:val="384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E147EB">
              <w:rPr>
                <w:rFonts w:ascii="Times New Roman" w:hAnsi="Times New Roman"/>
                <w:bCs/>
                <w:i/>
                <w:sz w:val="24"/>
                <w:szCs w:val="24"/>
              </w:rPr>
              <w:t>Подкритерии</w:t>
            </w:r>
            <w:proofErr w:type="spellEnd"/>
            <w:r w:rsidRPr="00E147E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47EB">
              <w:rPr>
                <w:rFonts w:ascii="Times New Roman" w:hAnsi="Times New Roman"/>
                <w:bCs/>
                <w:i/>
                <w:sz w:val="24"/>
                <w:szCs w:val="24"/>
              </w:rPr>
              <w:t>60</w:t>
            </w:r>
          </w:p>
        </w:tc>
      </w:tr>
      <w:tr w:rsidR="00E147EB" w:rsidRPr="00E147EB" w:rsidTr="006E15A9">
        <w:trPr>
          <w:trHeight w:val="779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Визия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развиване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отдаваните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наем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обекти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следващите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седем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представляващи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срока на договора за наем</w:t>
            </w:r>
            <w:r w:rsidRPr="00E14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>0-15</w:t>
            </w:r>
          </w:p>
        </w:tc>
      </w:tr>
      <w:tr w:rsidR="00E147EB" w:rsidRPr="00E147EB" w:rsidTr="006E15A9">
        <w:trPr>
          <w:trHeight w:val="698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proofErr w:type="spellStart"/>
            <w:r w:rsidRPr="00E147E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spellEnd"/>
            <w:r w:rsidRPr="00E147E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Атрактивно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представяне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отдаваните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наем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обекти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жителите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Общината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туристите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гостите на град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Трявна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>0-15</w:t>
            </w:r>
          </w:p>
        </w:tc>
      </w:tr>
      <w:tr w:rsidR="00E147EB" w:rsidRPr="00E147EB" w:rsidTr="006E15A9">
        <w:trPr>
          <w:trHeight w:val="611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 xml:space="preserve">2.3.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Осъществяване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съвместна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дейност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община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Трявна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подпомагането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да се наложи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като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желана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туристическа</w:t>
            </w:r>
            <w:proofErr w:type="spellEnd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EB">
              <w:rPr>
                <w:rFonts w:ascii="Times New Roman" w:hAnsi="Times New Roman"/>
                <w:sz w:val="24"/>
                <w:szCs w:val="24"/>
                <w:lang w:val="ru-RU"/>
              </w:rPr>
              <w:t>дестинация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>0-15</w:t>
            </w:r>
          </w:p>
        </w:tc>
      </w:tr>
      <w:tr w:rsidR="00E147EB" w:rsidRPr="00E147EB" w:rsidTr="006E15A9">
        <w:trPr>
          <w:trHeight w:val="611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7EB" w:rsidRPr="00E147EB" w:rsidRDefault="00E147EB" w:rsidP="00E147E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 xml:space="preserve">     2.4. </w:t>
            </w:r>
            <w:r w:rsidRPr="00E147EB">
              <w:rPr>
                <w:rFonts w:ascii="Times New Roman" w:hAnsi="Times New Roman"/>
                <w:sz w:val="24"/>
                <w:szCs w:val="24"/>
              </w:rPr>
              <w:t>Провеждане на инициативи,</w:t>
            </w:r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самостоятелно</w:t>
            </w:r>
            <w:proofErr w:type="spellEnd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или чрез </w:t>
            </w:r>
            <w:proofErr w:type="spellStart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привличане</w:t>
            </w:r>
            <w:proofErr w:type="spellEnd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трети лица, в </w:t>
            </w:r>
            <w:proofErr w:type="spellStart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областта</w:t>
            </w:r>
            <w:proofErr w:type="spellEnd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културата</w:t>
            </w:r>
            <w:proofErr w:type="spellEnd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изкуството</w:t>
            </w:r>
            <w:proofErr w:type="spellEnd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4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кулинарията</w:t>
            </w:r>
            <w:proofErr w:type="spellEnd"/>
          </w:p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EB" w:rsidRPr="00E147EB" w:rsidRDefault="00E147EB" w:rsidP="00E147EB">
            <w:pPr>
              <w:tabs>
                <w:tab w:val="left" w:pos="-142"/>
                <w:tab w:val="left" w:pos="142"/>
                <w:tab w:val="left" w:pos="360"/>
              </w:tabs>
              <w:ind w:left="360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7EB">
              <w:rPr>
                <w:rFonts w:ascii="Times New Roman" w:hAnsi="Times New Roman"/>
                <w:i/>
                <w:sz w:val="24"/>
                <w:szCs w:val="24"/>
              </w:rPr>
              <w:t>0-15</w:t>
            </w:r>
          </w:p>
        </w:tc>
      </w:tr>
    </w:tbl>
    <w:p w:rsidR="00E147EB" w:rsidRPr="00E147EB" w:rsidRDefault="00E147EB" w:rsidP="00E147E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</w:pPr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Изложенията по горепосочените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подкритерии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, ще подлежат на оценка по отношение на пълнота и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експертност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, при съответствие с предварително обявените  условия. Понеже на оценка ще подлежат изложения, в които участниците имат пълната свобода да изложат своите виждания, които за наемодателя са неизвестни по съдържание към момента на откриване на процедурата, не могат предварително да се определят коректно категории и степени за пълнота и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експертност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. За всеки един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подкритерии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 ще се използва методът на съпоставимост между отделните оферти, като за отправна точка ще се използва най-изчерпателната по отношение на съдържание и експертиза, от която ще бъдат изведени опорни точки, а останалите оферти ще бъдат оценени на база сравнение с опорните точки, изведени от тази оферта, за конкретния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подкритерии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. Под опорна точка се разбира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ииндивидуализирането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 на всяко конкретно предложение в изложението по конкретния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подкритерии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. </w:t>
      </w:r>
    </w:p>
    <w:p w:rsidR="00E147EB" w:rsidRPr="00E147EB" w:rsidRDefault="00E147EB" w:rsidP="00E147E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</w:pPr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lastRenderedPageBreak/>
        <w:t xml:space="preserve">Максимален брой точки по всеки от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подкритериите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 получава офертата, която в съпоставимост с останалите оферти притежава най-голяма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всеобхвантност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 и експертиза по изложението в конкретния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подкритерии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. Останалите оферти получават пропорционално  по-малко точки по метода описан по-горе и въз основа на преценка на комисията. Оценката ще се извършва на база преценка на членовете на комисията, която ще бъде назначена от кмета на Общината.   </w:t>
      </w:r>
    </w:p>
    <w:p w:rsidR="00E147EB" w:rsidRPr="00E147EB" w:rsidRDefault="00E147EB" w:rsidP="00E147E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</w:pPr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Ако е подадена само една оферта за участие в процедурата, същата ще бъде оценявана според нейното съдържание в посочения диапазон от точки, без да се сравнява с други оферти, поради липса на такива.    </w:t>
      </w:r>
    </w:p>
    <w:p w:rsidR="00E147EB" w:rsidRPr="00E147EB" w:rsidRDefault="00E147EB" w:rsidP="00E147E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</w:pPr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Участници представили концепция, несъответстваща на посочените в горната таблица </w:t>
      </w:r>
      <w:proofErr w:type="spellStart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подкритерии</w:t>
      </w:r>
      <w:proofErr w:type="spellEnd"/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, ще бъдат отстранявани, поради несъответствие с това предварително обявено условие.   </w:t>
      </w:r>
    </w:p>
    <w:p w:rsidR="00E147EB" w:rsidRPr="00E147EB" w:rsidRDefault="00E147EB" w:rsidP="00E147E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</w:pPr>
      <w:r w:rsidRPr="00E147EB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Максималната оценка, която всеки участник може да получи по този критерии, е 60 точки.  </w:t>
      </w:r>
    </w:p>
    <w:p w:rsidR="00E147EB" w:rsidRPr="00E147EB" w:rsidRDefault="00E147EB" w:rsidP="00E147EB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E147EB">
        <w:rPr>
          <w:rFonts w:ascii="Times New Roman" w:hAnsi="Times New Roman"/>
          <w:sz w:val="24"/>
          <w:szCs w:val="24"/>
          <w:lang w:eastAsia="bg-BG"/>
        </w:rPr>
        <w:t xml:space="preserve">При равен брой точки на </w:t>
      </w:r>
      <w:r w:rsidRPr="00E147EB">
        <w:rPr>
          <w:rFonts w:ascii="Times New Roman" w:hAnsi="Times New Roman"/>
          <w:sz w:val="24"/>
          <w:szCs w:val="24"/>
          <w:lang w:val="en-US" w:eastAsia="bg-BG"/>
        </w:rPr>
        <w:t xml:space="preserve"> I</w:t>
      </w:r>
      <w:r w:rsidRPr="00E147EB">
        <w:rPr>
          <w:rFonts w:ascii="Times New Roman" w:hAnsi="Times New Roman"/>
          <w:sz w:val="24"/>
          <w:szCs w:val="24"/>
          <w:lang w:eastAsia="bg-BG"/>
        </w:rPr>
        <w:t>-</w:t>
      </w:r>
      <w:proofErr w:type="spellStart"/>
      <w:r w:rsidRPr="00E147EB">
        <w:rPr>
          <w:rFonts w:ascii="Times New Roman" w:hAnsi="Times New Roman"/>
          <w:sz w:val="24"/>
          <w:szCs w:val="24"/>
          <w:lang w:eastAsia="bg-BG"/>
        </w:rPr>
        <w:t>во</w:t>
      </w:r>
      <w:proofErr w:type="spellEnd"/>
      <w:r w:rsidRPr="00E147EB">
        <w:rPr>
          <w:rFonts w:ascii="Times New Roman" w:hAnsi="Times New Roman"/>
          <w:sz w:val="24"/>
          <w:szCs w:val="24"/>
          <w:lang w:eastAsia="bg-BG"/>
        </w:rPr>
        <w:t xml:space="preserve"> място се класира  участникът  получил  по-висок брой точки на показателя с по-голяма тежест </w:t>
      </w:r>
      <w:r w:rsidRPr="00E147EB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E147EB">
        <w:rPr>
          <w:rFonts w:ascii="Times New Roman" w:hAnsi="Times New Roman"/>
          <w:sz w:val="24"/>
          <w:szCs w:val="24"/>
          <w:lang w:eastAsia="bg-BG"/>
        </w:rPr>
        <w:t>концепцията</w:t>
      </w:r>
      <w:r w:rsidRPr="00E147EB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E147EB">
        <w:rPr>
          <w:rFonts w:ascii="Times New Roman" w:hAnsi="Times New Roman"/>
          <w:sz w:val="24"/>
          <w:szCs w:val="24"/>
          <w:lang w:eastAsia="bg-BG"/>
        </w:rPr>
        <w:t xml:space="preserve"> . </w:t>
      </w:r>
    </w:p>
    <w:p w:rsidR="00E147EB" w:rsidRPr="00E147EB" w:rsidRDefault="00E147EB" w:rsidP="00E147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7EB" w:rsidRPr="00E147EB" w:rsidRDefault="006E15A9" w:rsidP="00E147E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147EB" w:rsidRPr="00E147EB">
        <w:rPr>
          <w:rFonts w:ascii="Times New Roman" w:hAnsi="Times New Roman"/>
          <w:b/>
          <w:sz w:val="24"/>
          <w:szCs w:val="24"/>
          <w:lang w:val="en-US"/>
        </w:rPr>
        <w:t>V</w:t>
      </w:r>
      <w:r w:rsidR="00E147EB" w:rsidRPr="00E147E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Възлага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обяви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проведе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, след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сключи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договор за </w:t>
      </w:r>
      <w:proofErr w:type="gramStart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наем </w:t>
      </w:r>
      <w:r w:rsidR="00E147EB" w:rsidRPr="00E147E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E147EB" w:rsidRPr="00E147EB">
        <w:rPr>
          <w:rFonts w:ascii="Times New Roman" w:hAnsi="Times New Roman"/>
          <w:sz w:val="24"/>
          <w:szCs w:val="24"/>
        </w:rPr>
        <w:t xml:space="preserve"> споразумение за ползване на втория етаж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147EB" w:rsidRPr="00E147EB">
        <w:rPr>
          <w:rFonts w:ascii="Times New Roman" w:hAnsi="Times New Roman"/>
          <w:sz w:val="24"/>
          <w:szCs w:val="24"/>
          <w:lang w:val="ru-RU"/>
        </w:rPr>
        <w:t>спечелилия</w:t>
      </w:r>
      <w:proofErr w:type="spellEnd"/>
      <w:r w:rsidR="00E147EB" w:rsidRPr="00E147EB">
        <w:rPr>
          <w:rFonts w:ascii="Times New Roman" w:hAnsi="Times New Roman"/>
          <w:sz w:val="24"/>
          <w:szCs w:val="24"/>
          <w:lang w:val="ru-RU"/>
        </w:rPr>
        <w:t xml:space="preserve"> участник. </w:t>
      </w:r>
    </w:p>
    <w:p w:rsidR="00E147EB" w:rsidRPr="00E147EB" w:rsidRDefault="00E147EB" w:rsidP="00E147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6025F0" w:rsidRDefault="006025F0" w:rsidP="006025F0">
      <w:pPr>
        <w:spacing w:after="0" w:line="240" w:lineRule="auto"/>
        <w:jc w:val="both"/>
        <w:rPr>
          <w:rFonts w:ascii="ExcelciorCyr" w:eastAsia="Times New Roman" w:hAnsi="ExcelciorCyr"/>
          <w:sz w:val="24"/>
          <w:szCs w:val="24"/>
        </w:rPr>
      </w:pPr>
    </w:p>
    <w:p w:rsidR="006025F0" w:rsidRDefault="00F84DB4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Прието с </w:t>
      </w:r>
      <w:r w:rsidR="006C1B92">
        <w:rPr>
          <w:rFonts w:ascii="Times New Roman" w:eastAsia="Times New Roman" w:hAnsi="Times New Roman"/>
          <w:sz w:val="24"/>
          <w:szCs w:val="24"/>
          <w:lang w:eastAsia="bg-BG"/>
        </w:rPr>
        <w:t xml:space="preserve">поименно </w:t>
      </w:r>
      <w:r w:rsidR="00533CE0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гласуване </w:t>
      </w:r>
      <w:r w:rsidR="006C1B92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533CE0">
        <w:rPr>
          <w:rFonts w:ascii="Times New Roman" w:eastAsia="Times New Roman" w:hAnsi="Times New Roman"/>
          <w:sz w:val="24"/>
          <w:szCs w:val="24"/>
          <w:lang w:eastAsia="bg-BG"/>
        </w:rPr>
        <w:t>1 гласа „за“, 1</w:t>
      </w:r>
      <w:r w:rsidR="006025F0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и  </w:t>
      </w:r>
      <w:r w:rsidR="00533CE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025F0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„въздържал се“.</w:t>
      </w:r>
    </w:p>
    <w:p w:rsidR="006025F0" w:rsidRDefault="006025F0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90" w:rsidRDefault="005D0B90" w:rsidP="00D60C9D">
      <w:pPr>
        <w:spacing w:after="0" w:line="240" w:lineRule="auto"/>
      </w:pPr>
      <w:r>
        <w:separator/>
      </w:r>
    </w:p>
  </w:endnote>
  <w:endnote w:type="continuationSeparator" w:id="0">
    <w:p w:rsidR="005D0B90" w:rsidRDefault="005D0B9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8A2">
          <w:rPr>
            <w:noProof/>
          </w:rPr>
          <w:t>3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90" w:rsidRDefault="005D0B90" w:rsidP="00D60C9D">
      <w:pPr>
        <w:spacing w:after="0" w:line="240" w:lineRule="auto"/>
      </w:pPr>
      <w:r>
        <w:separator/>
      </w:r>
    </w:p>
  </w:footnote>
  <w:footnote w:type="continuationSeparator" w:id="0">
    <w:p w:rsidR="005D0B90" w:rsidRDefault="005D0B9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6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8"/>
  </w:num>
  <w:num w:numId="15">
    <w:abstractNumId w:val="22"/>
  </w:num>
  <w:num w:numId="16">
    <w:abstractNumId w:val="27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8"/>
  </w:num>
  <w:num w:numId="28">
    <w:abstractNumId w:val="13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3A63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5494"/>
    <w:rsid w:val="006512DA"/>
    <w:rsid w:val="00654D49"/>
    <w:rsid w:val="0066440D"/>
    <w:rsid w:val="00681B17"/>
    <w:rsid w:val="006B05A1"/>
    <w:rsid w:val="006C1B92"/>
    <w:rsid w:val="006C6EB7"/>
    <w:rsid w:val="006C7F7A"/>
    <w:rsid w:val="006D1E35"/>
    <w:rsid w:val="006E15A9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0D8C-66AF-483C-920F-F1C81F24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45</cp:revision>
  <cp:lastPrinted>2019-03-06T11:43:00Z</cp:lastPrinted>
  <dcterms:created xsi:type="dcterms:W3CDTF">2019-02-27T07:19:00Z</dcterms:created>
  <dcterms:modified xsi:type="dcterms:W3CDTF">2019-03-06T11:43:00Z</dcterms:modified>
</cp:coreProperties>
</file>