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5F17D1" w:rsidRDefault="009A1747" w:rsidP="00F400A2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F17D1">
        <w:rPr>
          <w:rFonts w:ascii="Times New Roman" w:hAnsi="Times New Roman" w:cs="Times New Roman"/>
          <w:b/>
        </w:rPr>
        <w:t xml:space="preserve">        </w:t>
      </w:r>
      <w:r w:rsidR="005F17D1">
        <w:rPr>
          <w:rFonts w:ascii="Times New Roman" w:hAnsi="Times New Roman" w:cs="Times New Roman"/>
          <w:b/>
        </w:rPr>
        <w:t xml:space="preserve">   </w:t>
      </w:r>
      <w:r w:rsidRPr="005F17D1">
        <w:rPr>
          <w:rFonts w:ascii="Times New Roman" w:hAnsi="Times New Roman" w:cs="Times New Roman"/>
          <w:b/>
          <w:u w:val="single"/>
        </w:rPr>
        <w:t xml:space="preserve">ПО ТОЧКА </w:t>
      </w:r>
      <w:r w:rsidR="00470D3D" w:rsidRPr="005F17D1">
        <w:rPr>
          <w:rFonts w:ascii="Times New Roman" w:hAnsi="Times New Roman" w:cs="Times New Roman"/>
          <w:b/>
          <w:u w:val="single"/>
        </w:rPr>
        <w:t>ТРЕТА</w:t>
      </w:r>
    </w:p>
    <w:p w:rsidR="004539FF" w:rsidRPr="004539FF" w:rsidRDefault="004539FF" w:rsidP="004539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539FF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="005F17D1">
        <w:rPr>
          <w:rFonts w:ascii="Times New Roman" w:eastAsia="Calibri" w:hAnsi="Times New Roman" w:cs="Times New Roman"/>
          <w:b/>
          <w:sz w:val="24"/>
          <w:szCs w:val="24"/>
        </w:rPr>
        <w:t>едложение относно утвърждаване П</w:t>
      </w:r>
      <w:r w:rsidRPr="004539FF">
        <w:rPr>
          <w:rFonts w:ascii="Times New Roman" w:eastAsia="Calibri" w:hAnsi="Times New Roman" w:cs="Times New Roman"/>
          <w:b/>
          <w:sz w:val="24"/>
          <w:szCs w:val="24"/>
        </w:rPr>
        <w:t xml:space="preserve">роекта за бюджет на Община Трявна за 2019 г. </w:t>
      </w:r>
    </w:p>
    <w:p w:rsidR="004539FF" w:rsidRPr="004539FF" w:rsidRDefault="004539FF" w:rsidP="004539F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9F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470D3D" w:rsidP="00470D3D">
      <w:pPr>
        <w:tabs>
          <w:tab w:val="center" w:pos="4536"/>
          <w:tab w:val="left" w:pos="61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A1747"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3</w:t>
      </w:r>
    </w:p>
    <w:p w:rsidR="00275EEC" w:rsidRDefault="00275EEC" w:rsidP="00275EEC">
      <w:pPr>
        <w:pStyle w:val="52"/>
        <w:shd w:val="clear" w:color="auto" w:fill="auto"/>
        <w:spacing w:before="0" w:after="0" w:line="240" w:lineRule="auto"/>
        <w:ind w:right="-18" w:firstLine="708"/>
        <w:rPr>
          <w:rStyle w:val="35"/>
          <w:rFonts w:eastAsiaTheme="minorHAnsi"/>
          <w:sz w:val="24"/>
          <w:szCs w:val="24"/>
        </w:rPr>
      </w:pPr>
      <w:r w:rsidRPr="00042149">
        <w:rPr>
          <w:rStyle w:val="35"/>
          <w:rFonts w:eastAsiaTheme="minorHAnsi"/>
          <w:sz w:val="24"/>
          <w:szCs w:val="24"/>
        </w:rPr>
        <w:t>На основание чл. 52, ал. 1 и чл. 21, ал. 1, т. 6, във връзка с чл. 27, ал. 4 и ал. 5 от</w:t>
      </w:r>
      <w:r w:rsidRPr="00042149">
        <w:rPr>
          <w:rStyle w:val="42"/>
          <w:rFonts w:eastAsiaTheme="minorHAnsi"/>
          <w:sz w:val="24"/>
          <w:szCs w:val="24"/>
        </w:rPr>
        <w:t xml:space="preserve"> </w:t>
      </w:r>
      <w:r w:rsidRPr="00042149">
        <w:rPr>
          <w:rStyle w:val="35"/>
          <w:rFonts w:eastAsiaTheme="minorHAnsi"/>
          <w:sz w:val="24"/>
          <w:szCs w:val="24"/>
        </w:rPr>
        <w:t>ЗМСМА, чл. 94, ал. 2 и ал. 3 и чл. 39 от Закона за публичните финанси, във връзка с</w:t>
      </w:r>
      <w:r w:rsidRPr="00042149">
        <w:rPr>
          <w:rStyle w:val="42"/>
          <w:rFonts w:eastAsiaTheme="minorHAnsi"/>
          <w:sz w:val="24"/>
          <w:szCs w:val="24"/>
        </w:rPr>
        <w:t xml:space="preserve"> </w:t>
      </w:r>
      <w:r w:rsidRPr="00042149">
        <w:rPr>
          <w:rStyle w:val="35"/>
          <w:rFonts w:eastAsiaTheme="minorHAnsi"/>
          <w:sz w:val="24"/>
          <w:szCs w:val="24"/>
        </w:rPr>
        <w:t>разпоредбите на ЗДБРБ за 2019 г., ПМС № 344 от 21.12.2018 г. за изпълнение на ДБРБ за 2019 г. и Наредбата за условията и реда за съставяне на бюджетната прогноза за</w:t>
      </w:r>
      <w:r w:rsidRPr="00042149">
        <w:rPr>
          <w:rStyle w:val="42"/>
          <w:rFonts w:eastAsiaTheme="minorHAnsi"/>
          <w:sz w:val="24"/>
          <w:szCs w:val="24"/>
        </w:rPr>
        <w:t xml:space="preserve"> </w:t>
      </w:r>
      <w:r w:rsidRPr="00042149">
        <w:rPr>
          <w:rStyle w:val="35"/>
          <w:rFonts w:eastAsiaTheme="minorHAnsi"/>
          <w:sz w:val="24"/>
          <w:szCs w:val="24"/>
        </w:rPr>
        <w:t>местните дейности за следващите три години, за съставяне, приемане, изпълнение и</w:t>
      </w:r>
      <w:r w:rsidRPr="00042149">
        <w:rPr>
          <w:rStyle w:val="42"/>
          <w:rFonts w:eastAsiaTheme="minorHAnsi"/>
          <w:sz w:val="24"/>
          <w:szCs w:val="24"/>
        </w:rPr>
        <w:t xml:space="preserve"> </w:t>
      </w:r>
      <w:r w:rsidRPr="00042149">
        <w:rPr>
          <w:rStyle w:val="35"/>
          <w:rFonts w:eastAsiaTheme="minorHAnsi"/>
          <w:sz w:val="24"/>
          <w:szCs w:val="24"/>
        </w:rPr>
        <w:t>отчитане на бюджета на община Трявна, Общински съвет град Трявна</w:t>
      </w:r>
    </w:p>
    <w:p w:rsidR="0078441E" w:rsidRPr="0078441E" w:rsidRDefault="0078441E" w:rsidP="0078441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8441E" w:rsidRPr="0078441E" w:rsidRDefault="0078441E" w:rsidP="0078441E">
      <w:pPr>
        <w:tabs>
          <w:tab w:val="center" w:pos="4536"/>
          <w:tab w:val="left" w:pos="6120"/>
        </w:tabs>
        <w:spacing w:after="0"/>
        <w:rPr>
          <w:rFonts w:ascii="Times New Roman" w:eastAsia="Calibri" w:hAnsi="Times New Roman" w:cs="Times New Roman"/>
          <w:b/>
        </w:rPr>
      </w:pPr>
      <w:r w:rsidRPr="0078441E">
        <w:rPr>
          <w:rFonts w:ascii="Times New Roman" w:eastAsia="Calibri" w:hAnsi="Times New Roman" w:cs="Times New Roman"/>
          <w:b/>
        </w:rPr>
        <w:tab/>
        <w:t>Р Е Ш И:</w:t>
      </w:r>
    </w:p>
    <w:p w:rsidR="002B702E" w:rsidRDefault="002B702E" w:rsidP="0078441E">
      <w:pPr>
        <w:spacing w:after="0" w:line="240" w:lineRule="auto"/>
        <w:ind w:right="-18"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</w:pPr>
      <w:r w:rsidRPr="005F17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1. Прие</w:t>
      </w:r>
      <w:r w:rsidR="005F17D1" w:rsidRPr="005F17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ма Б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юджет</w:t>
      </w:r>
      <w:r w:rsidR="005F17D1" w:rsidRPr="005F17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 xml:space="preserve"> на О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бщина Трявна за 2019 година</w:t>
      </w:r>
      <w:r w:rsidR="005F17D1" w:rsidRPr="005F17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, както следва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:</w:t>
      </w:r>
    </w:p>
    <w:p w:rsidR="0078441E" w:rsidRPr="002B702E" w:rsidRDefault="0078441E" w:rsidP="0078441E">
      <w:pPr>
        <w:spacing w:after="0" w:line="240" w:lineRule="auto"/>
        <w:ind w:right="-18"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B702E" w:rsidRDefault="002B702E" w:rsidP="0078441E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F17D1"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приходната част </w:t>
      </w:r>
      <w:r w:rsidR="005F17D1"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размер на </w:t>
      </w:r>
      <w:r w:rsidRPr="002B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12 614 753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17D1"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лева</w:t>
      </w:r>
      <w:r w:rsidRPr="002B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разпределена </w:t>
      </w:r>
      <w:r w:rsidRPr="002B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приходни 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параграфи, </w:t>
      </w:r>
      <w:r w:rsidRPr="002B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съгласно /Приложение № 1/</w:t>
      </w:r>
      <w:r w:rsidR="005F17D1"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78441E" w:rsidRPr="002B702E" w:rsidRDefault="0078441E" w:rsidP="0078441E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702E" w:rsidRPr="002B702E" w:rsidRDefault="002B702E" w:rsidP="002B702E">
      <w:pPr>
        <w:numPr>
          <w:ilvl w:val="2"/>
          <w:numId w:val="2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right="47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Приходи за  държавни дейности  в размер на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4 870 542 лв.</w:t>
      </w:r>
    </w:p>
    <w:p w:rsidR="002B702E" w:rsidRPr="002B702E" w:rsidRDefault="002B702E" w:rsidP="002B702E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8"/>
          <w:tab w:val="left" w:pos="6626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Обща субсидия за делегирани държавни  дейности /ДД/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4 623 048 лв.</w:t>
      </w:r>
    </w:p>
    <w:p w:rsidR="002B702E" w:rsidRPr="005F17D1" w:rsidRDefault="002B702E" w:rsidP="002B702E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  <w:tab w:val="left" w:pos="6663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Преходен остатък от 2018 година за ДД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201 942 лв.</w:t>
      </w:r>
    </w:p>
    <w:p w:rsidR="002B702E" w:rsidRPr="005F17D1" w:rsidRDefault="002B702E" w:rsidP="002B702E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  <w:tab w:val="left" w:pos="6663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Собствени приходи ВРБ /делегиран бюджет/                  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2 600 лв.</w:t>
      </w:r>
    </w:p>
    <w:p w:rsidR="002B702E" w:rsidRPr="002B702E" w:rsidRDefault="002B702E" w:rsidP="002B702E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  <w:tab w:val="left" w:pos="6663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Събрани средства и извършени плащания параграф 8803           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/ - 3 048 /лв.</w:t>
      </w:r>
    </w:p>
    <w:p w:rsidR="002B702E" w:rsidRPr="002B702E" w:rsidRDefault="00AD69CE" w:rsidP="002B702E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  <w:tab w:val="left" w:pos="6663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Целева субсидия за к</w:t>
      </w:r>
      <w:r w:rsidR="002B702E"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апиталови разходи        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2B702E"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46 000 лв.</w:t>
      </w:r>
    </w:p>
    <w:p w:rsidR="002B702E" w:rsidRPr="002B702E" w:rsidRDefault="002B702E" w:rsidP="002B702E">
      <w:pPr>
        <w:numPr>
          <w:ilvl w:val="2"/>
          <w:numId w:val="2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right="47" w:firstLine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Приходи за местни дейности в размер на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7 744 211 лв.</w:t>
      </w:r>
    </w:p>
    <w:p w:rsidR="002B702E" w:rsidRPr="002B702E" w:rsidRDefault="002B702E" w:rsidP="002B702E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4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Данъчни приходи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919 000 лв.</w:t>
      </w:r>
    </w:p>
    <w:p w:rsidR="002B702E" w:rsidRPr="002B702E" w:rsidRDefault="002B702E" w:rsidP="002B702E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  <w:tab w:val="left" w:pos="7245"/>
          <w:tab w:val="right" w:pos="8003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Неданъчни приходи                                                 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1 596 726 лв.</w:t>
      </w:r>
    </w:p>
    <w:p w:rsidR="002B702E" w:rsidRPr="002B702E" w:rsidRDefault="002B702E" w:rsidP="002B702E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  <w:tab w:val="right" w:pos="8003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Обща изравнителна субсидия                                     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704 000 лв.</w:t>
      </w:r>
    </w:p>
    <w:p w:rsidR="002B702E" w:rsidRPr="002B702E" w:rsidRDefault="002B702E" w:rsidP="002B702E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Целева субсидия за капиталови разходи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883 100 лв.</w:t>
      </w:r>
    </w:p>
    <w:p w:rsidR="002B702E" w:rsidRPr="002B702E" w:rsidRDefault="002B702E" w:rsidP="002B702E">
      <w:pPr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Трансфер за зимно поддържане и 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снегопоч</w:t>
      </w:r>
      <w:proofErr w:type="spellEnd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 на общ. пътища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x-none"/>
        </w:rPr>
        <w:t xml:space="preserve">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545 100 лв.</w:t>
      </w:r>
    </w:p>
    <w:p w:rsidR="002B702E" w:rsidRPr="002B702E" w:rsidRDefault="002B702E" w:rsidP="002B70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1.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</w:t>
      </w:r>
      <w:proofErr w:type="spellEnd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.2.6. Временни безлихвени заеми от СЕС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x-none"/>
        </w:rPr>
        <w:t xml:space="preserve">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1 416 лв.</w:t>
      </w:r>
    </w:p>
    <w:p w:rsidR="002B702E" w:rsidRPr="005F17D1" w:rsidRDefault="002B702E" w:rsidP="002B702E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Предоставени трансфери между бюджетни сметки</w:t>
      </w:r>
      <w:r w:rsidRP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>/ -141 864 /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>лв</w:t>
      </w:r>
      <w:proofErr w:type="spellEnd"/>
    </w:p>
    <w:p w:rsidR="002B702E" w:rsidRPr="005F17D1" w:rsidRDefault="005F17D1" w:rsidP="002B702E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Погашения по  финансов лизинг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/-56 280/ лв.</w:t>
      </w:r>
    </w:p>
    <w:p w:rsidR="002B702E" w:rsidRPr="002B702E" w:rsidRDefault="005F17D1" w:rsidP="002B702E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Възстановени суми по временна финансова помощ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19 558 лв.</w:t>
      </w:r>
    </w:p>
    <w:p w:rsidR="002B702E" w:rsidRPr="005F17D1" w:rsidRDefault="001773B8" w:rsidP="001773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.2.10.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Погашения по </w:t>
      </w:r>
      <w:proofErr w:type="spellStart"/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дългоср</w:t>
      </w:r>
      <w:proofErr w:type="spellEnd"/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 заеми от други лица в страната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/-82 548 /лв.</w:t>
      </w:r>
    </w:p>
    <w:p w:rsidR="002B702E" w:rsidRPr="005F17D1" w:rsidRDefault="001773B8" w:rsidP="001773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.2.11.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Придобиване на дялове и акции и увеличение на капитала и капиталовите резерви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/ - 100 000 /лв.</w:t>
      </w:r>
    </w:p>
    <w:p w:rsidR="002B702E" w:rsidRPr="002B702E" w:rsidRDefault="001773B8" w:rsidP="001773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.2.12.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Друго финансиране- предоставени депозити от други бюджетни организации                                                                          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      20 000 лв.</w:t>
      </w:r>
    </w:p>
    <w:p w:rsidR="002B702E" w:rsidRPr="002B702E" w:rsidRDefault="001773B8" w:rsidP="001773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14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.2.13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Преходен остатък от 2018 година за местни и </w:t>
      </w:r>
      <w:proofErr w:type="spellStart"/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дофинансирани</w:t>
      </w:r>
      <w:proofErr w:type="spellEnd"/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дейности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   </w:t>
      </w:r>
      <w:r w:rsidR="002B702E"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3 436 003  лв.</w:t>
      </w:r>
      <w:bookmarkStart w:id="0" w:name="_GoBack"/>
      <w:bookmarkEnd w:id="0"/>
    </w:p>
    <w:p w:rsidR="002B702E" w:rsidRPr="002B702E" w:rsidRDefault="002B702E" w:rsidP="002B70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1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1.2. </w:t>
      </w:r>
      <w:r w:rsidRPr="002B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разходната част </w:t>
      </w:r>
      <w:r w:rsidRPr="002B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размер на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</w:t>
      </w:r>
      <w:r w:rsidRP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5F1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12 614 753 лв.</w:t>
      </w:r>
    </w:p>
    <w:p w:rsidR="002B702E" w:rsidRPr="002B702E" w:rsidRDefault="002B702E" w:rsidP="002B702E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За делегирани от държавата дейности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5 147 675 лв.</w:t>
      </w:r>
    </w:p>
    <w:p w:rsidR="002B702E" w:rsidRPr="002B702E" w:rsidRDefault="002B702E" w:rsidP="002B702E">
      <w:pPr>
        <w:numPr>
          <w:ilvl w:val="0"/>
          <w:numId w:val="2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9"/>
        </w:tabs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За делегирани от държавата дейности чрез държавни трансфери /Приложение № 2/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x-none"/>
        </w:rPr>
        <w:t xml:space="preserve">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         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4 870 542 лв.</w:t>
      </w:r>
    </w:p>
    <w:p w:rsidR="002B702E" w:rsidRPr="002B702E" w:rsidRDefault="002B702E" w:rsidP="002B702E">
      <w:pPr>
        <w:numPr>
          <w:ilvl w:val="0"/>
          <w:numId w:val="2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За 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дофинансиране</w:t>
      </w:r>
      <w:proofErr w:type="spellEnd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на делегирани от държавата дейности чрез местни приходи /Приложение № 4/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           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277 133 лв.</w:t>
      </w:r>
    </w:p>
    <w:p w:rsidR="002B702E" w:rsidRPr="002B702E" w:rsidRDefault="002B702E" w:rsidP="002B702E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За местни дейности /Приложение № 3/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7 467 078 лв.</w:t>
      </w:r>
    </w:p>
    <w:p w:rsidR="002B702E" w:rsidRPr="005F17D1" w:rsidRDefault="002B702E" w:rsidP="002B702E">
      <w:pPr>
        <w:numPr>
          <w:ilvl w:val="0"/>
          <w:numId w:val="2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Капиталова  програма по източници на финансиране/Приложение № 7/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4 200 924 лв.</w:t>
      </w:r>
    </w:p>
    <w:p w:rsidR="002B702E" w:rsidRPr="002B702E" w:rsidRDefault="002B702E" w:rsidP="002B70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в.т.ч.</w:t>
      </w:r>
    </w:p>
    <w:p w:rsidR="002B702E" w:rsidRPr="002B702E" w:rsidRDefault="002B702E" w:rsidP="002B70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1.2.3.1. целева субсидия от републикански бюджет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   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929 100 лв.</w:t>
      </w:r>
    </w:p>
    <w:p w:rsidR="002B702E" w:rsidRPr="005F17D1" w:rsidRDefault="002B702E" w:rsidP="002B70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1.2.3.2. собствени бюджетни средства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>24 000 лв.</w:t>
      </w:r>
    </w:p>
    <w:p w:rsidR="002B702E" w:rsidRPr="005F17D1" w:rsidRDefault="002B702E" w:rsidP="002B70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1.2.3.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</w:t>
      </w:r>
      <w:proofErr w:type="spellEnd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 преходен остатък от 2018 г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   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ab/>
        <w:t xml:space="preserve">    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3 247 824 лв.</w:t>
      </w:r>
    </w:p>
    <w:p w:rsidR="002B702E" w:rsidRPr="005F17D1" w:rsidRDefault="002B702E" w:rsidP="002B702E">
      <w:pPr>
        <w:tabs>
          <w:tab w:val="left" w:pos="275"/>
        </w:tabs>
        <w:spacing w:after="217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B702E" w:rsidRPr="002B702E" w:rsidRDefault="002B702E" w:rsidP="002B702E">
      <w:pPr>
        <w:numPr>
          <w:ilvl w:val="1"/>
          <w:numId w:val="23"/>
        </w:numPr>
        <w:tabs>
          <w:tab w:val="left" w:pos="275"/>
        </w:tabs>
        <w:spacing w:after="217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Приема разходите с целево предназначение /Приложение № 9/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328"/>
        </w:tabs>
        <w:spacing w:after="233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Приема разпределението на средствата от преходния остатък от 2018 г.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разпределен по функции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салдата по разпоредители с бюджет в делегираните от държавата дейности и за местни дейности към 01.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01</w:t>
      </w:r>
      <w:proofErr w:type="spellEnd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.2019 г. /Приложение № 10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/.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309"/>
        </w:tabs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Одобрява актуализираната бюджетната прогноза за местни дейности за периода 2019 – 2021  г. /Приложения №№ 16 и 17/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314"/>
        </w:tabs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Одобрява индикативен годишен разчет за сметките за средства от Европейския съюз в размери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съгласно Приложение № 8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309"/>
        </w:tabs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Утвърждава списък на длъжностите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които имат право на транспортни разходи в рамките на 90% от действителните разходи /Приложение № 14/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:rsidR="002B702E" w:rsidRPr="005F17D1" w:rsidRDefault="002B702E" w:rsidP="002B702E">
      <w:pPr>
        <w:numPr>
          <w:ilvl w:val="1"/>
          <w:numId w:val="23"/>
        </w:numPr>
        <w:tabs>
          <w:tab w:val="left" w:pos="410"/>
        </w:tabs>
        <w:spacing w:after="233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Определя второстепенните разпоредители с бюджет, съгласно Приложение № 11 и приема разпределението на разходите по бю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джетите им, съгласно П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риложение № 5.</w:t>
      </w:r>
    </w:p>
    <w:p w:rsidR="002B702E" w:rsidRPr="005F17D1" w:rsidRDefault="002B702E" w:rsidP="002B702E">
      <w:pPr>
        <w:numPr>
          <w:ilvl w:val="2"/>
          <w:numId w:val="23"/>
        </w:numPr>
        <w:tabs>
          <w:tab w:val="left" w:pos="410"/>
        </w:tabs>
        <w:spacing w:after="233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О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добрява субсидията за дейност „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Читалища”</w:t>
      </w:r>
      <w:r w:rsidR="000A36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определена съгласно ЗДБРБ за 2019 г. в общ размер 275 210 лв., както и размера на 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дофинансирането</w:t>
      </w:r>
      <w:proofErr w:type="spellEnd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 - 8500 лв. Средствата да бъдат разпределени от комисия, назначена със заповед на кмета на общината между регистрираните читалища на територията на община Трявна /чл.23, ал.1 от ЗНЧ /.</w:t>
      </w:r>
    </w:p>
    <w:p w:rsidR="002B702E" w:rsidRPr="002B702E" w:rsidRDefault="002B702E" w:rsidP="002B702E">
      <w:pPr>
        <w:numPr>
          <w:ilvl w:val="2"/>
          <w:numId w:val="23"/>
        </w:numPr>
        <w:tabs>
          <w:tab w:val="left" w:pos="410"/>
        </w:tabs>
        <w:spacing w:after="233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Определената субсидия за подпомагане дейността на спортните клубове в размер на 92000 лв., която да се разпредели от комисия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назначена със заповед на кмета и да  се изплаща на траншове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по заявка  на съответния спортен клуб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според предвидените в спортния календар мероприятия, по приети правила и критерии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утвърдени от кмета на общината. Субсидията следва да се изразходва целесъобразно, като видовете разходи да бъдат определени в утвърдените Правила за разпределение. Неи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зразходваните по предназначение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средства се възстановяват в общинския бюджет. 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27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Определя максималния размер на дълга, както следва /Приложение № 15/:</w:t>
      </w:r>
    </w:p>
    <w:p w:rsidR="002B702E" w:rsidRPr="005F17D1" w:rsidRDefault="002B702E" w:rsidP="002B702E">
      <w:pPr>
        <w:numPr>
          <w:ilvl w:val="2"/>
          <w:numId w:val="23"/>
        </w:numPr>
        <w:tabs>
          <w:tab w:val="left" w:pos="44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Максималния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т размер на поетия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общинския дълг за 2019 г.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/към 01.</w:t>
      </w:r>
      <w:proofErr w:type="spellStart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01</w:t>
      </w:r>
      <w:proofErr w:type="spellEnd"/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.2019 г. / – 381 802 лв.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;</w:t>
      </w:r>
    </w:p>
    <w:p w:rsidR="002B702E" w:rsidRPr="002B702E" w:rsidRDefault="002B702E" w:rsidP="002B702E">
      <w:pPr>
        <w:numPr>
          <w:ilvl w:val="2"/>
          <w:numId w:val="23"/>
        </w:numPr>
        <w:tabs>
          <w:tab w:val="left" w:pos="44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>Максимален размер на нов дълг, който ще бъде поет през 2019 г. – 0 лв.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;</w:t>
      </w:r>
    </w:p>
    <w:p w:rsidR="002B702E" w:rsidRPr="002B702E" w:rsidRDefault="002B702E" w:rsidP="002B702E">
      <w:pPr>
        <w:numPr>
          <w:ilvl w:val="2"/>
          <w:numId w:val="23"/>
        </w:numPr>
        <w:tabs>
          <w:tab w:val="left" w:pos="45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Общинските гаранции, които ще бъдат издадени през 2019 г. - 0 лв.;</w:t>
      </w:r>
    </w:p>
    <w:p w:rsidR="002B702E" w:rsidRPr="002B702E" w:rsidRDefault="002B702E" w:rsidP="002B702E">
      <w:pPr>
        <w:numPr>
          <w:ilvl w:val="2"/>
          <w:numId w:val="23"/>
        </w:numPr>
        <w:tabs>
          <w:tab w:val="left" w:pos="501"/>
        </w:tabs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Максимален размер на общинския дълг и общинските гаранции към края на 2019 </w:t>
      </w:r>
      <w:r w:rsidRPr="005F17D1">
        <w:rPr>
          <w:rFonts w:ascii="Times New Roman" w:eastAsia="Times New Roman" w:hAnsi="Times New Roman" w:cs="Times New Roman"/>
          <w:spacing w:val="30"/>
          <w:sz w:val="24"/>
          <w:szCs w:val="24"/>
          <w:lang w:eastAsia="x-none"/>
        </w:rPr>
        <w:t>г.-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242979 лв.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314"/>
        </w:tabs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Определя максимален размер на новите задължения за разходи, които могат да бъдат натрупани през 2019 г.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в размер на 3854373лв.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/ изчислен като средногодишен размер на отчетените разхо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ди за последните четири години/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като наличните в края на годината задължения за разходи не могат да надвишават 15%  - 578156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лв.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390"/>
        </w:tabs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Определя максимален ангажимент на разходите, които могат да бъдат натрупани през 2019 г.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в размер на 3854373 лв./</w:t>
      </w:r>
      <w:r w:rsidR="00B85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</w:t>
      </w: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изчислен като средногодишен размер на отчетените разходи за последните четири години/, като наличните към края на годината поети ангажименти за разходи не могат да надвишават 50 %  - 1927187 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лв.</w:t>
      </w:r>
    </w:p>
    <w:p w:rsidR="002B702E" w:rsidRPr="005F17D1" w:rsidRDefault="002B702E" w:rsidP="002B702E">
      <w:pPr>
        <w:numPr>
          <w:ilvl w:val="1"/>
          <w:numId w:val="23"/>
        </w:numPr>
        <w:tabs>
          <w:tab w:val="left" w:pos="458"/>
        </w:tabs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Определя размера на просрочените вземания, които ще бъдат събрани през 2019 г. в размер на 180</w:t>
      </w:r>
      <w:r w:rsidR="005F1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000 лв.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458"/>
        </w:tabs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Определя числеността на персонала и разходите за работни заплати на делегираните от държавата дейности в общ годишен размер във функции „Общинска администрация”, „Отбрана и сигурност”, „Здравеопазване”, „Социално осигуряване, подпомагане и грижи”, „Почивно дело, култура и религиозни дейности” (без читалища), считано от 01.</w:t>
      </w:r>
      <w:proofErr w:type="spellStart"/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01</w:t>
      </w:r>
      <w:proofErr w:type="spellEnd"/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.2019 г.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(съгл. Приложение № 12)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нещатния персонал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ПМС № 66/1996 г.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индивидуални основни заплати в размер на 560 лв., считано от 01.</w:t>
      </w:r>
      <w:proofErr w:type="spellStart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</w:t>
      </w:r>
    </w:p>
    <w:p w:rsidR="005F17D1" w:rsidRPr="002B702E" w:rsidRDefault="005F17D1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Pr="002B702E" w:rsidRDefault="00B855CB" w:rsidP="00B855CB">
      <w:pPr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13. </w:t>
      </w:r>
      <w:r w:rsidR="002B702E"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Утвърждава числеността на персонала и средствата за работна заплата в местните дейности и </w:t>
      </w:r>
      <w:proofErr w:type="spellStart"/>
      <w:r w:rsidR="002B702E"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дофинансирани</w:t>
      </w:r>
      <w:proofErr w:type="spellEnd"/>
      <w:r w:rsidR="002B702E"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дейности с местни приходи в общ годишен размер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B702E"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(съгл. Приложение № 13).</w:t>
      </w:r>
    </w:p>
    <w:p w:rsidR="002B702E" w:rsidRPr="002B702E" w:rsidRDefault="002B702E" w:rsidP="002B702E">
      <w:pPr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Възлага на кмета на общината да утвърди длъжностни и поименни щатни разписания.</w:t>
      </w:r>
    </w:p>
    <w:p w:rsidR="002B702E" w:rsidRPr="002B702E" w:rsidRDefault="002B702E" w:rsidP="002B702E">
      <w:pPr>
        <w:numPr>
          <w:ilvl w:val="1"/>
          <w:numId w:val="23"/>
        </w:numPr>
        <w:tabs>
          <w:tab w:val="left" w:pos="458"/>
        </w:tabs>
        <w:spacing w:after="244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Разходите за възнаграждения на персонала да се извършват в рамките на утвърдения годишен размер, в т.12 и т.13. При констатирани икономии в разходите, същите да се използват за изплащане на допълнителни възнаграждения за постигнати резултати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текущо или в края на бюджетната година или за текуща издръжка.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Оправомощава</w:t>
      </w:r>
      <w:proofErr w:type="spellEnd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общината да извършва компенсирани промени: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15. В частта на делегираните от държавата дейности – между утвърдените показатели за разходи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дейност, съгл. чл. 125, ал.1 от ЗПФ.</w:t>
      </w:r>
    </w:p>
    <w:p w:rsidR="005F17D1" w:rsidRPr="002B702E" w:rsidRDefault="005F17D1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16. В частта за местни дейности – между утвърдените разходи в рамките на една дейност или от една дейност в друга дейност без да изменя общия размер на разходите, съгл. чл. 125, ал. 2 от ЗПФ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17D1" w:rsidRPr="002B702E" w:rsidRDefault="005F17D1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17. Да извършва промени по бюджетите на второстепенните разпоредители с бюджет във връзка с промените по т. 18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17D1" w:rsidRPr="002B702E" w:rsidRDefault="005F17D1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Да отразява служебно промените по общинския бюджет с размера на постъпилите субсидии и трансфери от министерства и ведомства, средствата от дарения и </w:t>
      </w:r>
      <w:proofErr w:type="spellStart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спонсорства</w:t>
      </w:r>
      <w:proofErr w:type="spellEnd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волята на дарителя и средства от Европейския съюз.</w:t>
      </w:r>
    </w:p>
    <w:p w:rsidR="005F17D1" w:rsidRPr="002B702E" w:rsidRDefault="005F17D1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19.    Възлага на кмета: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19.1. Да утвърди бюджетите на второстепенните разпоредители с бюджет и изплаща до седем работни дни постъпленията от субсидии и трансфери за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държавно делегираните дейности 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бюджетите на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второстепенните разпоредители.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Субсидиите за финансиране на местните дейности по бюджетите им  да се изплащат до размера на постъпленията от собствени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приходи по бюджета на общината;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19.2. Да организира разпределението на бюджета по тримесечия и да утвърди разпределението му и извършва текущо наблюдение върху изпълнението му и подд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>ържа балансирано бюджетно салдо;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19.3. Да информира 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намаляване на бюджетните разходи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19.4. Да включва информация по чл. 125, ал. 4 от ЗПФ в тримесечните отчети и обяснителните записки към тях.</w:t>
      </w:r>
    </w:p>
    <w:p w:rsidR="005F17D1" w:rsidRPr="002B702E" w:rsidRDefault="005F17D1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20.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ЕС и по други международни програми, вкл. и на бюджетни организации, чийто бю</w:t>
      </w:r>
      <w:r w:rsid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джет е част от общинския бюджет: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20.1. За всеки отделен случай кметът на общината определя или договаря срока на погасяване на заемите в съответствие с условията на финансиращата програма, но не по-късно от края на 2019 г.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20.2 При предоставянето на временните безлихвени заеми от временно свободни средства по общинския бюджет да се спазват изискванията на чл. 126 от ЗПФ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20.3. При предоставянето на средства от сметките за средства от ЕС да се спазват изискваният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чл. 104, ал. 1, т.4 от ЗПФ;</w:t>
      </w: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20.4. Във всички останали случаи при възникване на потребност от предоставяне на временни безлихвени заеми кметът на общината внася предл</w:t>
      </w:r>
      <w:r w:rsidR="00B855CB"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за предоставянето им по решение на о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съвет.</w:t>
      </w:r>
    </w:p>
    <w:p w:rsidR="00260E83" w:rsidRPr="002B702E" w:rsidRDefault="00260E83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21. Упълномощава кмета: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21.1. Да разработва и възлага подготовката на общински програми и проекти и да кандидатства за финансирането им със средства от структурни и други фондове на ЕС и на други донори, по национални програми и от други източници за реализиране на годишните цели на общината за изпълнени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общинския план за развитие;</w:t>
      </w: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21.2. Да кандидатства за средства от централния бюджет и други източници за финансиране и </w:t>
      </w:r>
      <w:proofErr w:type="spellStart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съфинансиране</w:t>
      </w:r>
      <w:proofErr w:type="spellEnd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общински програми и проекти.</w:t>
      </w:r>
    </w:p>
    <w:p w:rsidR="00260E83" w:rsidRPr="002B702E" w:rsidRDefault="00260E83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22. Възлага на кмета на общината: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22.1. Да разработи бюджета на общината по пълна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Единна бюджетна класификация;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22.2. Разходването на бюджетните средс</w:t>
      </w:r>
      <w:r w:rsidR="00023A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тва /без целевите средства/ да 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осъществява при спазването на следните приоритети:</w:t>
      </w:r>
    </w:p>
    <w:p w:rsidR="002B702E" w:rsidRPr="002B702E" w:rsidRDefault="002B702E" w:rsidP="002B702E">
      <w:pPr>
        <w:tabs>
          <w:tab w:val="left" w:pos="900"/>
          <w:tab w:val="left" w:pos="14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22.2.1. Разходите за делегираните от държавата дейности се извършват до размера на предоставените трансфери и се използват по предназначение, като разходите за трудови възнаграждения и стипендии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приоритетни;</w:t>
      </w: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22.2.</w:t>
      </w:r>
      <w:proofErr w:type="spellStart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Постъпилите собствени приходи се разходват при следната </w:t>
      </w:r>
      <w:proofErr w:type="spellStart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proofErr w:type="spellEnd"/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: за трудови разходи; плащане на главници и лихви по заеми, за покриване на разходи, свързани с дейности за които се събират такси; неотложни сезонни разходи, гориво, ел.енергия, вода, неотложни текущи ремонти и други.</w:t>
      </w:r>
    </w:p>
    <w:p w:rsidR="00260E83" w:rsidRPr="002B702E" w:rsidRDefault="00260E83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23. Задължава кмета на общината</w:t>
      </w:r>
      <w:r w:rsidRPr="002B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ограничава или спира финансиране на бюджетни организации и звена при нарушаване на бюджетната и финансова дисциплина, при неспазване приоритетите по т. 22.2 и системно допускане разплащането на непланирани разходи и натрупване на просрочени задължения.</w:t>
      </w:r>
    </w:p>
    <w:p w:rsidR="00260E83" w:rsidRPr="002B702E" w:rsidRDefault="00260E83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24. Задължава ръководителите на бюджетни звена, финансирани от общинския бюджет: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24.1 Да актуализират разработените системи за финансово управление и контрол при промени в Закона за финансово управление и контрол в публичния сектор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Закона за публичните финанси;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24.2 Да изготвят отчет за всички целево получени средства от министерства и ведомства в сроковете дадени</w:t>
      </w:r>
      <w:r w:rsidR="00260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първостепенния разпоредител;</w:t>
      </w:r>
    </w:p>
    <w:p w:rsidR="002B702E" w:rsidRPr="002B702E" w:rsidRDefault="002B702E" w:rsidP="002B702E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02E">
        <w:rPr>
          <w:rFonts w:ascii="Times New Roman" w:eastAsia="Times New Roman" w:hAnsi="Times New Roman" w:cs="Times New Roman"/>
          <w:sz w:val="24"/>
          <w:szCs w:val="24"/>
          <w:lang w:eastAsia="bg-BG"/>
        </w:rPr>
        <w:t>24.3. Второстепенните разпоредители с бюджет да предприемат необходимите действия по опазване на сградите, които стопанисват и ежегодно да разчитат средства за тяхната поддръжка. При нанесени и установени щети, същите да бъдат отстранявани със средства от делегирания им бюджет.</w:t>
      </w:r>
    </w:p>
    <w:p w:rsidR="002B702E" w:rsidRPr="002B702E" w:rsidRDefault="002B702E" w:rsidP="002B702E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02E" w:rsidRPr="002B702E" w:rsidRDefault="002B702E" w:rsidP="002B702E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239" w:rsidRPr="005F17D1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5F17D1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A2696A" w:rsidRP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с поименно гласуване със 10 гласа „за“, 4 „против“ и 3</w:t>
      </w:r>
      <w:r w:rsidR="009A1747" w:rsidRPr="005F1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Pr="005F17D1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17D1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17D1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17D1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17D1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Pr="00260E83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</w:p>
    <w:p w:rsidR="009A1747" w:rsidRPr="00260E83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260E83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260E83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260E83">
        <w:rPr>
          <w:rFonts w:ascii="Times New Roman" w:hAnsi="Times New Roman" w:cs="Times New Roman"/>
          <w:b/>
        </w:rPr>
        <w:tab/>
      </w:r>
      <w:r w:rsidRPr="00260E83">
        <w:rPr>
          <w:rFonts w:ascii="Times New Roman" w:hAnsi="Times New Roman" w:cs="Times New Roman"/>
          <w:b/>
        </w:rPr>
        <w:tab/>
      </w:r>
      <w:r w:rsidRPr="00260E83">
        <w:rPr>
          <w:rFonts w:ascii="Times New Roman" w:hAnsi="Times New Roman" w:cs="Times New Roman"/>
          <w:b/>
        </w:rPr>
        <w:tab/>
      </w:r>
      <w:r w:rsidRPr="00260E83">
        <w:rPr>
          <w:rFonts w:ascii="Times New Roman" w:hAnsi="Times New Roman" w:cs="Times New Roman"/>
          <w:b/>
        </w:rPr>
        <w:tab/>
      </w:r>
      <w:r w:rsidRPr="00260E83">
        <w:rPr>
          <w:rFonts w:ascii="Times New Roman" w:hAnsi="Times New Roman" w:cs="Times New Roman"/>
          <w:b/>
        </w:rPr>
        <w:tab/>
      </w:r>
      <w:r w:rsidRPr="00260E83">
        <w:rPr>
          <w:rFonts w:ascii="Times New Roman" w:hAnsi="Times New Roman" w:cs="Times New Roman"/>
          <w:b/>
        </w:rPr>
        <w:tab/>
      </w:r>
      <w:r w:rsidRPr="00260E83">
        <w:rPr>
          <w:rFonts w:ascii="Times New Roman" w:hAnsi="Times New Roman" w:cs="Times New Roman"/>
          <w:b/>
        </w:rPr>
        <w:tab/>
      </w:r>
      <w:r w:rsidRPr="00260E83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260E83" w:rsidRDefault="00C54267" w:rsidP="00204C23">
      <w:pPr>
        <w:spacing w:after="0"/>
        <w:rPr>
          <w:rFonts w:ascii="Times New Roman" w:hAnsi="Times New Roman" w:cs="Times New Roman"/>
        </w:rPr>
      </w:pPr>
    </w:p>
    <w:sectPr w:rsidR="00C54267" w:rsidRPr="00260E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FD" w:rsidRDefault="005A15FD" w:rsidP="00D60C9D">
      <w:pPr>
        <w:spacing w:after="0" w:line="240" w:lineRule="auto"/>
      </w:pPr>
      <w:r>
        <w:separator/>
      </w:r>
    </w:p>
  </w:endnote>
  <w:endnote w:type="continuationSeparator" w:id="0">
    <w:p w:rsidR="005A15FD" w:rsidRDefault="005A15F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1E">
          <w:rPr>
            <w:noProof/>
          </w:rPr>
          <w:t>5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FD" w:rsidRDefault="005A15FD" w:rsidP="00D60C9D">
      <w:pPr>
        <w:spacing w:after="0" w:line="240" w:lineRule="auto"/>
      </w:pPr>
      <w:r>
        <w:separator/>
      </w:r>
    </w:p>
  </w:footnote>
  <w:footnote w:type="continuationSeparator" w:id="0">
    <w:p w:rsidR="005A15FD" w:rsidRDefault="005A15F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23A3F"/>
    <w:rsid w:val="00050E92"/>
    <w:rsid w:val="000629A1"/>
    <w:rsid w:val="0007102A"/>
    <w:rsid w:val="0007316E"/>
    <w:rsid w:val="00075359"/>
    <w:rsid w:val="00094F9D"/>
    <w:rsid w:val="00097C81"/>
    <w:rsid w:val="000A3636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773B8"/>
    <w:rsid w:val="00186C60"/>
    <w:rsid w:val="00194898"/>
    <w:rsid w:val="001F1430"/>
    <w:rsid w:val="00204C23"/>
    <w:rsid w:val="00260E83"/>
    <w:rsid w:val="00275EEC"/>
    <w:rsid w:val="00285071"/>
    <w:rsid w:val="002B702E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2068"/>
    <w:rsid w:val="003E4DEB"/>
    <w:rsid w:val="00405C96"/>
    <w:rsid w:val="00411FDA"/>
    <w:rsid w:val="0042786B"/>
    <w:rsid w:val="00430E14"/>
    <w:rsid w:val="00441FF9"/>
    <w:rsid w:val="004470D6"/>
    <w:rsid w:val="004539FF"/>
    <w:rsid w:val="00470D3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15FD"/>
    <w:rsid w:val="005A654B"/>
    <w:rsid w:val="005A75CA"/>
    <w:rsid w:val="005B5816"/>
    <w:rsid w:val="005D056D"/>
    <w:rsid w:val="005E72E9"/>
    <w:rsid w:val="005F0CA8"/>
    <w:rsid w:val="005F17D1"/>
    <w:rsid w:val="005F21E8"/>
    <w:rsid w:val="005F2E4F"/>
    <w:rsid w:val="005F6199"/>
    <w:rsid w:val="00604B7B"/>
    <w:rsid w:val="00606A68"/>
    <w:rsid w:val="006117AC"/>
    <w:rsid w:val="006512DA"/>
    <w:rsid w:val="00654D49"/>
    <w:rsid w:val="00673D02"/>
    <w:rsid w:val="006B05A1"/>
    <w:rsid w:val="006C6EB7"/>
    <w:rsid w:val="006D4B8F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8441E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0173"/>
    <w:rsid w:val="00824AE6"/>
    <w:rsid w:val="00833EE7"/>
    <w:rsid w:val="00855B20"/>
    <w:rsid w:val="00861906"/>
    <w:rsid w:val="00871DC1"/>
    <w:rsid w:val="008735CD"/>
    <w:rsid w:val="00880265"/>
    <w:rsid w:val="00885A4E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696A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D69CE"/>
    <w:rsid w:val="00AE1192"/>
    <w:rsid w:val="00B31AE0"/>
    <w:rsid w:val="00B357A9"/>
    <w:rsid w:val="00B35B2B"/>
    <w:rsid w:val="00B455CE"/>
    <w:rsid w:val="00B6791D"/>
    <w:rsid w:val="00B67A25"/>
    <w:rsid w:val="00B855CB"/>
    <w:rsid w:val="00BA5CBE"/>
    <w:rsid w:val="00BA64A3"/>
    <w:rsid w:val="00BD63E6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679E"/>
    <w:rsid w:val="00CF44BB"/>
    <w:rsid w:val="00D16577"/>
    <w:rsid w:val="00D25616"/>
    <w:rsid w:val="00D30761"/>
    <w:rsid w:val="00D37B08"/>
    <w:rsid w:val="00D4581D"/>
    <w:rsid w:val="00D519E2"/>
    <w:rsid w:val="00D60C9D"/>
    <w:rsid w:val="00D73831"/>
    <w:rsid w:val="00D90ED0"/>
    <w:rsid w:val="00D94B48"/>
    <w:rsid w:val="00D97C67"/>
    <w:rsid w:val="00DA121F"/>
    <w:rsid w:val="00DC7FEC"/>
    <w:rsid w:val="00DE49F7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3803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af">
    <w:name w:val="Основен текст_"/>
    <w:link w:val="52"/>
    <w:rsid w:val="00275EEC"/>
    <w:rPr>
      <w:sz w:val="23"/>
      <w:szCs w:val="23"/>
      <w:shd w:val="clear" w:color="auto" w:fill="FFFFFF"/>
    </w:rPr>
  </w:style>
  <w:style w:type="paragraph" w:customStyle="1" w:styleId="52">
    <w:name w:val="Основен текст52"/>
    <w:basedOn w:val="a"/>
    <w:link w:val="af"/>
    <w:rsid w:val="00275EEC"/>
    <w:pPr>
      <w:shd w:val="clear" w:color="auto" w:fill="FFFFFF"/>
      <w:spacing w:before="300" w:after="540" w:line="274" w:lineRule="exact"/>
      <w:ind w:hanging="420"/>
      <w:jc w:val="both"/>
    </w:pPr>
    <w:rPr>
      <w:sz w:val="23"/>
      <w:szCs w:val="23"/>
    </w:rPr>
  </w:style>
  <w:style w:type="character" w:customStyle="1" w:styleId="35">
    <w:name w:val="Основен текст35"/>
    <w:rsid w:val="0027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">
    <w:name w:val="Основен текст42"/>
    <w:rsid w:val="0027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af">
    <w:name w:val="Основен текст_"/>
    <w:link w:val="52"/>
    <w:rsid w:val="00275EEC"/>
    <w:rPr>
      <w:sz w:val="23"/>
      <w:szCs w:val="23"/>
      <w:shd w:val="clear" w:color="auto" w:fill="FFFFFF"/>
    </w:rPr>
  </w:style>
  <w:style w:type="paragraph" w:customStyle="1" w:styleId="52">
    <w:name w:val="Основен текст52"/>
    <w:basedOn w:val="a"/>
    <w:link w:val="af"/>
    <w:rsid w:val="00275EEC"/>
    <w:pPr>
      <w:shd w:val="clear" w:color="auto" w:fill="FFFFFF"/>
      <w:spacing w:before="300" w:after="540" w:line="274" w:lineRule="exact"/>
      <w:ind w:hanging="420"/>
      <w:jc w:val="both"/>
    </w:pPr>
    <w:rPr>
      <w:sz w:val="23"/>
      <w:szCs w:val="23"/>
    </w:rPr>
  </w:style>
  <w:style w:type="character" w:customStyle="1" w:styleId="35">
    <w:name w:val="Основен текст35"/>
    <w:rsid w:val="0027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">
    <w:name w:val="Основен текст42"/>
    <w:rsid w:val="00275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45BE-209E-4823-B03A-F18A8D71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40</cp:revision>
  <cp:lastPrinted>2018-12-05T09:12:00Z</cp:lastPrinted>
  <dcterms:created xsi:type="dcterms:W3CDTF">2018-11-14T13:23:00Z</dcterms:created>
  <dcterms:modified xsi:type="dcterms:W3CDTF">2019-02-15T10:33:00Z</dcterms:modified>
</cp:coreProperties>
</file>